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"Rīkojums par zaudējumu atlīdzināšanu kontekstā ar Latvijas Republikas Satversmes tiesas spriedumu lietā Nr. 2021-31-0103."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24-TA-1118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