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14. punktu un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7. janvāra noteikumos Nr. 24 "Noteikumi par produktivitātes aizdevumiem uzņēmumu inovācijām" (Latvijas Vēstnesis, 2025, 8.,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"2.11.2. tam saskaņā ar Valsts ieņēmumu dienesta nodokļu (nodevu) maksātāju reitingu ir laba nodokļu saistību izpilde vai saskaņā ar Valsts ieņēmumu dienesta administrēto nodokļu (nodevu) parādnieku datubāzē publiski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paredzamās algu izmaksas, ko rada sākotnējā ieguldījuma rezultātā radītās jaunās darba vietas, kas izveidotas projekta īstenošanas rezultātā, rēķinot par divu gadu periodu, un ir nepieciešamas darbam ar investīciju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aktīvi (tai skaitā ēkas un būves) ir jauni (izņemot, ja tos iegādājas sīkais (mikro) komersants,mazais komersants vai vidējais komersants);".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gala saņēmēja apgrozījuma apmērs salīdzinājumā ar apgrozījuma apmēru gadā, kad tika sākts investīciju projekts, ir vismaz divas reizes lielāks kā sabiedrības “Altum” piešķirtā aizdevuma kapitāla atlaides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izveidotās darba vietas tiek saglabātas vismaz divus gadus pēc to izveidošanas, un šajā laikā tiek nodrošināts, ka mēneša vidējā bruto darba samaksa darbiniekiem, kas pieņemti darbā investīciju projekta īstenošanas rezultātā, nav mazāka par mēneša vidējās bruto darba samaksas apmēru tautsaimniecībā projekta pabeigšanas gadā, kam piemērots koeficients 1,6. Ja projekta īstenošanas rezultātā netiek izveidotas jaunas darba vietas, bet tiek saglabātas esošās, mēneša vidējā bruto darba samaksa darbiniekiem, kam saglabātas darba vietas, nav mazāka par mēneša vidējās bruto darba samaksas apmēru tautsaimniecībā projekta pabeigšanas gadā, kam piemērots koeficients 1,6, papildus nodrošinot bruto darba samaksas pieaugumu vismaz 30 %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Ekonomikas ministrijai ir tiesības veikt rādītāju faktiskās izpildes pārbaudi projekta īstenošanas vietā, kā arī lūgt gala saņēmējam skaidrot informāciju attiecībā uz šo noteikumu 32. punktā minēto rādītāju izpildi pamatojošo dokumentāciju."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25-TA-3111</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25-TA-3111</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noteikumu_(grozījumu)_projekts_25-TA-3111.docx</dc:title>
</cp:coreProperties>
</file>

<file path=docProps/custom.xml><?xml version="1.0" encoding="utf-8"?>
<Properties xmlns="http://schemas.openxmlformats.org/officeDocument/2006/custom-properties" xmlns:vt="http://schemas.openxmlformats.org/officeDocument/2006/docPropsVTypes"/>
</file>