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594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17. oktobrī (prot. Nr. 52 24.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6.1.1. specifiskā atbalsta mērķa "Pārejas uz klimatneitralitāti radīto ekonomisko, sociālo un vides seku mazināšana visvairāk skartajos reģionos" 6.1.1.8. pasākuma "Pašvaldību un reģionu speciālistu prasmju paaugstināšana klimatneitrālas ekonomikas un sociālekonomisko seku saistībā ar klimata pārmaiņām mazināšanas jautājumos"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w:t>
      </w:r>
      <w:r w:rsidR="00000000" w:rsidRPr="00000000" w:rsidDel="00000000">
        <w:rPr>
          <w:rStyle w:val="paragraph"/>
          <w:i w:val="1"/>
          <w:rtl w:val="0"/>
        </w:rPr>
        <w:t xml:space="preserve"> </w:t>
      </w:r>
      <w:r w:rsidR="00000000" w:rsidRPr="00000000" w:rsidDel="00000000">
        <w:rPr>
          <w:rStyle w:val="paragraph"/>
          <w:i w:val="1"/>
          <w:rtl w:val="0"/>
        </w:rPr>
        <w:t xml:space="preserve">19. panta</w:t>
      </w:r>
      <w:r w:rsidR="00000000" w:rsidRPr="00000000" w:rsidDel="00000000">
        <w:rPr>
          <w:rStyle w:val="paragraph"/>
          <w:i w:val="1"/>
          <w:rtl w:val="0"/>
        </w:rPr>
        <w:t xml:space="preserve">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6.1.1. specifiskā atbalsta mērķa "Pārejas uz klimatneitralitāti radīto ekonomisko, sociālo un vides seku mazināšana visvairāk skartajos reģionos" 6.1.1.8. pasākumu "Pašvaldību un reģionu speciālistu prasmju paaugstināšana klimatneitrālas ekonomikas un sociālekonomisko seku saistībā ar klimata pārmaiņām mazināšanas jautājumos"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Taisnīgas pārkārtošanās fonda projekta (turpmāk – projekts) iesniedzējam, finansējuma saņēmējam un projekta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Pasākumu īsteno ierobežotas projektu iesniegumu atlases veidā vienā projektu iesniegumu atlases kārtā par visu pasākumam pieejamo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atbalsts tiek sniegts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atbildīgās iestādes funkcijas pilda Vides aizsardzības un reģionālās attīstības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īstenošanas vieta ir Kurzemes, Latgales, Vidzemes un Zemgales statistiskais reģions saskaņā ar 2022. gada 25. novembrī spēkā esošo Statistiski teritoriālo vienību nomenklatūras 3. līmeņa (NUTS 3. līmenis) klasifikāciju.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Pasākuma mērķis un sasniedzamie rādītāji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mērķis ir paaugstināt pašvaldību un reģionu speciālistu prasmes, lai nodrošinātu virzību uz klimatneitrālu ekonomiku un mazinātu riskus saistībā ar klimata pārmaiņām visvairāk skartajos reģionos, veicinot sociālekonomisko seku mazināšanu.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mērķa grupa ir šo noteikumu </w:t>
      </w:r>
      <w:r w:rsidR="00000000" w:rsidRPr="00000000" w:rsidDel="00000000">
        <w:rPr>
          <w:rtl w:val="0"/>
        </w:rPr>
        <w:t xml:space="preserve">5.</w:t>
      </w:r>
      <w:r w:rsidR="00000000" w:rsidRPr="00000000" w:rsidDel="00000000">
        <w:rPr>
          <w:rtl w:val="0"/>
        </w:rPr>
        <w:t xml:space="preserve"> punktā minēto reģionu un to pašvaldību speciālisti, tai skaitā to pašvaldību kapitālsabiedrību speciālisti, kas pilda pašvaldības deleģētos pārvaldes uzdevumus.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Pasākumu īsteno līdz 2029. gada 31. decembrim, sasniedzot šādus rādītājus: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iznākuma rādītājs – īstenotas reģionāla mēroga mācību programmas pašvaldību un reģionu speciālistu kvalifikācijas paaugstināšanai vai pārkvalifikācijai – četras programmas (pasākumu kopums – darba grupas, semināri, kampaņas, konferences, pieredzes apmaiņas vai citi pasākumi);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rezultāta rādītājs – pašvaldību un reģionu speciālisti ar pilnveidotām zināšanām un prasmēm klimatneitrālas ekonomikas un ar klimata pārmaiņām saistīto sociālekonomisko seku mazināšanas jautājumos  – vismaz 190 speciālisti, tai skaitā par šo noteikumu </w:t>
      </w:r>
      <w:r w:rsidR="00000000" w:rsidRPr="00000000" w:rsidDel="00000000">
        <w:rPr>
          <w:rtl w:val="0"/>
        </w:rPr>
        <w:t xml:space="preserve">11.</w:t>
      </w:r>
      <w:r w:rsidR="00000000" w:rsidRPr="00000000" w:rsidDel="00000000">
        <w:rPr>
          <w:rtl w:val="0"/>
        </w:rPr>
        <w:t xml:space="preserve"> punktā minēto elastības finansējumu – vismaz 12 speciālisti.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8.1.</w:t>
      </w:r>
      <w:r w:rsidR="00000000" w:rsidRPr="00000000" w:rsidDel="00000000">
        <w:rPr>
          <w:rtl w:val="0"/>
        </w:rPr>
        <w:t xml:space="preserve"> apakšpunktā minētais iznākuma rādītājs ir sasniegts, kad ir īstenotas šo noteikumu </w:t>
      </w:r>
      <w:r w:rsidR="00000000" w:rsidRPr="00000000" w:rsidDel="00000000">
        <w:rPr>
          <w:rtl w:val="0"/>
        </w:rPr>
        <w:t xml:space="preserve">8.1.</w:t>
      </w:r>
      <w:r w:rsidR="00000000" w:rsidRPr="00000000" w:rsidDel="00000000">
        <w:rPr>
          <w:rtl w:val="0"/>
        </w:rPr>
        <w:t xml:space="preserve"> apakšpunktā minētās programmas – viena programma katrā no četriem atbalstāmajiem reģioniem, kuras ietvaros parakstīts pieņemšanas un nodošanas akts vai cits pasākuma norisi apliecinošs dokuments par katru īstenoto mācību pasākumu vai pasākumu kopumu.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8.2.</w:t>
      </w:r>
      <w:r w:rsidR="00000000" w:rsidRPr="00000000" w:rsidDel="00000000">
        <w:rPr>
          <w:rtl w:val="0"/>
        </w:rPr>
        <w:t xml:space="preserve"> apakšpunktā minētais rezultāta rādītājs ir sasniegts, kad vismaz 190 speciālisti, tai skaitā par šo noteikumu </w:t>
      </w:r>
      <w:r w:rsidR="00000000" w:rsidRPr="00000000" w:rsidDel="00000000">
        <w:rPr>
          <w:rtl w:val="0"/>
        </w:rPr>
        <w:t xml:space="preserve">11.</w:t>
      </w:r>
      <w:r w:rsidR="00000000" w:rsidRPr="00000000" w:rsidDel="00000000">
        <w:rPr>
          <w:rtl w:val="0"/>
        </w:rPr>
        <w:t xml:space="preserve"> punktā minēto elastības finansējumu – vismaz 12 speciālisti, no atbalstāmajiem reģioniem vai to pašvaldībām ir piedalījušies vismaz vienā šo noteikumu </w:t>
      </w:r>
      <w:r w:rsidR="00000000" w:rsidRPr="00000000" w:rsidDel="00000000">
        <w:rPr>
          <w:rtl w:val="0"/>
        </w:rPr>
        <w:t xml:space="preserve">8.1.</w:t>
      </w:r>
      <w:r w:rsidR="00000000" w:rsidRPr="00000000" w:rsidDel="00000000">
        <w:rPr>
          <w:rtl w:val="0"/>
        </w:rPr>
        <w:t xml:space="preserve"> apakšpunktā minētajā programmā, iesniedzot sadarbības iestādē dalību apliecinošu reģistrācijas veidlapu vai citu dalību apliecinošu dokumentu.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Pasākumam pieejamais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ietvaros plānotais kopējais finansējums ir 1 803 436 </w:t>
      </w:r>
      <w:r w:rsidR="00000000" w:rsidRPr="00000000" w:rsidDel="00000000">
        <w:rPr>
          <w:i w:val="1"/>
          <w:rtl w:val="0"/>
        </w:rPr>
        <w:t xml:space="preserve">euro</w:t>
      </w:r>
      <w:r w:rsidR="00000000" w:rsidRPr="00000000" w:rsidDel="00000000">
        <w:rPr>
          <w:rtl w:val="0"/>
        </w:rPr>
        <w:t xml:space="preserve"> (tai skaitā elastības finansējums 118 449</w:t>
      </w:r>
      <w:r w:rsidR="00000000" w:rsidRPr="00000000" w:rsidDel="00000000">
        <w:rPr>
          <w:i w:val="1"/>
          <w:rtl w:val="0"/>
        </w:rPr>
        <w:t xml:space="preserve"> euro</w:t>
      </w:r>
      <w:r w:rsidR="00000000" w:rsidRPr="00000000" w:rsidDel="00000000">
        <w:rPr>
          <w:rtl w:val="0"/>
        </w:rPr>
        <w:t xml:space="preserve">), tai skaitā Taisnīgas pārkārtošanās fonda finansējums 1 532 920 </w:t>
      </w:r>
      <w:r w:rsidR="00000000" w:rsidRPr="00000000" w:rsidDel="00000000">
        <w:rPr>
          <w:i w:val="1"/>
          <w:rtl w:val="0"/>
        </w:rPr>
        <w:t xml:space="preserve">euro</w:t>
      </w:r>
      <w:r w:rsidR="00000000" w:rsidRPr="00000000" w:rsidDel="00000000">
        <w:rPr>
          <w:rtl w:val="0"/>
        </w:rPr>
        <w:t xml:space="preserve"> (tai skaitā elastības finansējums 100 682 </w:t>
      </w:r>
      <w:r w:rsidR="00000000" w:rsidRPr="00000000" w:rsidDel="00000000">
        <w:rPr>
          <w:i w:val="1"/>
          <w:rtl w:val="0"/>
        </w:rPr>
        <w:t xml:space="preserve">euro</w:t>
      </w:r>
      <w:r w:rsidR="00000000" w:rsidRPr="00000000" w:rsidDel="00000000">
        <w:rPr>
          <w:rtl w:val="0"/>
        </w:rPr>
        <w:t xml:space="preserve">) un valsts budžeta līdzfinansējums 270 516 </w:t>
      </w:r>
      <w:r w:rsidR="00000000" w:rsidRPr="00000000" w:rsidDel="00000000">
        <w:rPr>
          <w:i w:val="1"/>
          <w:rtl w:val="0"/>
        </w:rPr>
        <w:t xml:space="preserve">euro </w:t>
      </w:r>
      <w:r w:rsidR="00000000" w:rsidRPr="00000000" w:rsidDel="00000000">
        <w:rPr>
          <w:rtl w:val="0"/>
        </w:rPr>
        <w:t xml:space="preserve">(tai skaitā elastības finansējums 17 767 </w:t>
      </w:r>
      <w:r w:rsidR="00000000" w:rsidRPr="00000000" w:rsidDel="00000000">
        <w:rPr>
          <w:i w:val="1"/>
          <w:rtl w:val="0"/>
        </w:rPr>
        <w:t xml:space="preserve">euro</w:t>
      </w:r>
      <w:r w:rsidR="00000000" w:rsidRPr="00000000" w:rsidDel="00000000">
        <w:rPr>
          <w:rtl w:val="0"/>
        </w:rPr>
        <w:t xml:space="preserve">). Pasākumam pieejamais kopējais finansējums ir 1 684 987 </w:t>
      </w:r>
      <w:r w:rsidR="00000000" w:rsidRPr="00000000" w:rsidDel="00000000">
        <w:rPr>
          <w:i w:val="1"/>
          <w:rtl w:val="0"/>
        </w:rPr>
        <w:t xml:space="preserve">euro</w:t>
      </w:r>
      <w:r w:rsidR="00000000" w:rsidRPr="00000000" w:rsidDel="00000000">
        <w:rPr>
          <w:rtl w:val="0"/>
        </w:rPr>
        <w:t xml:space="preserve">, tai skaitā Taisnīgas pārkārtošanās fonda finansējums 1 432 238 </w:t>
      </w:r>
      <w:r w:rsidR="00000000" w:rsidRPr="00000000" w:rsidDel="00000000">
        <w:rPr>
          <w:i w:val="1"/>
          <w:rtl w:val="0"/>
        </w:rPr>
        <w:t xml:space="preserve">euro </w:t>
      </w:r>
      <w:r w:rsidR="00000000" w:rsidRPr="00000000" w:rsidDel="00000000">
        <w:rPr>
          <w:rtl w:val="0"/>
        </w:rPr>
        <w:t xml:space="preserve">un valsts budžeta līdzfinansējums 252 749 </w:t>
      </w:r>
      <w:r w:rsidR="00000000" w:rsidRPr="00000000" w:rsidDel="00000000">
        <w:rPr>
          <w:i w:val="1"/>
          <w:rtl w:val="0"/>
        </w:rPr>
        <w:t xml:space="preserve">euro</w:t>
      </w:r>
      <w:r w:rsidR="00000000" w:rsidRPr="00000000" w:rsidDel="00000000">
        <w:rPr>
          <w:rtl w:val="0"/>
        </w:rPr>
        <w:t xml:space="preserve">. Maksimālais Taisnīgas pārkārtošanās fonda finansējuma apmērs nepārsniedz 85 procentus no projekta kopējā attiecināmā finansējuma.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pasākumam pieejamo kopējo finansējumu līdz šo noteikumu </w:t>
      </w:r>
      <w:r w:rsidR="00000000" w:rsidRPr="00000000" w:rsidDel="00000000">
        <w:rPr>
          <w:rtl w:val="0"/>
        </w:rPr>
        <w:t xml:space="preserve">11.</w:t>
      </w:r>
      <w:r w:rsidR="00000000" w:rsidRPr="00000000" w:rsidDel="00000000">
        <w:rPr>
          <w:rtl w:val="0"/>
        </w:rPr>
        <w:t xml:space="preserve"> punktā minētajam plānotajam kopējam finansējuma apmēram.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Prasības projekta iesniedzējam, finansējuma saņēmējam un sadarbības partnerim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pasākuma ietvaros ir Vides aizsardzības un reģionālās attīstības ministrija kā par reģionālo politiku atbildīgā nozares ministrija. Ja sadarbības iestāde apstiprina projekta iesniegumu un noslēdz vienošanos par projekta īstenošanu, projekta iesniedzējs ir finansējuma saņēmējs.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w:t>
      </w:r>
      <w:r w:rsidR="00000000" w:rsidRPr="00000000" w:rsidDel="00000000">
        <w:rPr>
          <w:rtl w:val="0"/>
        </w:rPr>
        <w:t xml:space="preserve"> punktā minēto atbalstāmo darbību īstenošanā finansējuma saņēmējs par sadarbības partneri piesaista Kurzemes, Latgales, Vidzemes un Zemgales plānošanas reģionu.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projekta iesniegumam pievieno apliecinājumu par sadarbību, kā arī trīs mēnešu laikā pēc tam, kad noslēgta vienošanās par projekta īstenošanu, noslēdz sadarbības līgumus ar šo noteikumu </w:t>
      </w:r>
      <w:r w:rsidR="00000000" w:rsidRPr="00000000" w:rsidDel="00000000">
        <w:rPr>
          <w:rtl w:val="0"/>
        </w:rPr>
        <w:t xml:space="preserve">14.</w:t>
      </w:r>
      <w:r w:rsidR="00000000" w:rsidRPr="00000000" w:rsidDel="00000000">
        <w:rPr>
          <w:rtl w:val="0"/>
        </w:rPr>
        <w:t xml:space="preserve"> punktā minētajiem sadarbības partneriem saskaņā ar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sagatavo projekta iesniegumu atbilstoši projekta iesnieguma atlases nolikumā noteiktajām prasībām un iesniedz to sadarbības iestādē, izmantojot Kohēzijas politikas fondu vadības informācijas sistēmu.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iesniedzējs pasākuma ietvaros iesniedz vienu projekta iesniegumu.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Atbalstāmās darbības un attiecināmās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pašvaldību un plānošanas reģionu speciālistu zināšanu un prasmju novērtēšana, paaugstināšana un izmantošana praksē, lai nodrošinātu virzību uz klimatneitrālu ekonomiku un mazinātu riskus saistībā ar klimata pārmaiņām visvairāk skartajos reģionos, ievērojot pašvaldību un plānošanas reģionu identificētās vajadzības, tai skaitā par klimatdrošināšanu (siltumnīcefekta gāzu emisiju samazināšanu, atjaunojamiem energoresursiem, oglekļa dioksīda piesaisti), zaļā publiskā iepirkuma sagatavošanu, zaļo risinājumu piemērošanu infrastruktūras attīstības plānošanā,  informācijas tehnoloģiju un mākslīgā intelekta rīku izmantošanu klimatneitrālu risinājumu plānošanā;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atbalsts reģionālās attīstības pasākumiem virzībai uz klimatneitrālu ekonomiku, to plānošanai, īstenošanas koordinācijai un novērtēšanai;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komunikācijas un vizuālās identitātes prasību nodrošināšanas pasākumi projekta īstenošanai.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Projektā neiekļauj darbības, kas nav vērstas uz šo noteikumu </w:t>
      </w:r>
      <w:r w:rsidR="00000000" w:rsidRPr="00000000" w:rsidDel="00000000">
        <w:rPr>
          <w:rtl w:val="0"/>
        </w:rPr>
        <w:t xml:space="preserve">6.</w:t>
      </w:r>
      <w:r w:rsidR="00000000" w:rsidRPr="00000000" w:rsidDel="00000000">
        <w:rPr>
          <w:rtl w:val="0"/>
        </w:rPr>
        <w:t xml:space="preserve"> punktā minētā mērķa sasniegšanu.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ietvaros ir attiecināmas šādas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īstenošanu un nepieciešamas projekta rezultātu sasniegšanai, un šī saistība ir skaidri saprotama un pierādāma;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īstenošanai un projekta rezultātu sasniegšanai.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un īstenošanas personāla atlīdzības izmaksas, kuras saskaņā ar Eiropas Parlamenta un Padomes 2021. gada 24. jūnija Regulas (ES) Nr.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r w:rsidR="00000000" w:rsidRPr="00000000" w:rsidDel="00000000">
        <w:rPr>
          <w:rtl w:val="0"/>
        </w:rPr>
        <w:t xml:space="preserve">2021/1060</w:t>
      </w:r>
      <w:r w:rsidR="00000000" w:rsidRPr="00000000" w:rsidDel="00000000">
        <w:rPr>
          <w:rtl w:val="0"/>
        </w:rPr>
        <w:t xml:space="preserve">),  55. panta 1. punktu projekta iesniegumā plāno kā vienu izmaksu pozīciju, piemērojot izmaksu vienoto likmi 20 procentu apmērā no šo noteikumu </w:t>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21.3.</w:t>
      </w:r>
      <w:r w:rsidR="00000000" w:rsidRPr="00000000" w:rsidDel="00000000">
        <w:rPr>
          <w:rtl w:val="0"/>
        </w:rPr>
        <w:t xml:space="preserve">, </w:t>
      </w:r>
      <w:r w:rsidR="00000000" w:rsidRPr="00000000" w:rsidDel="00000000">
        <w:rPr>
          <w:rtl w:val="0"/>
        </w:rPr>
        <w:t xml:space="preserve">21.4.</w:t>
      </w:r>
      <w:r w:rsidR="00000000" w:rsidRPr="00000000" w:rsidDel="00000000">
        <w:rPr>
          <w:rtl w:val="0"/>
        </w:rPr>
        <w:t xml:space="preserve">,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un </w:t>
      </w:r>
      <w:r w:rsidR="00000000" w:rsidRPr="00000000" w:rsidDel="00000000">
        <w:rPr>
          <w:rtl w:val="0"/>
        </w:rPr>
        <w:t xml:space="preserve">21.7.</w:t>
      </w:r>
      <w:r w:rsidR="00000000" w:rsidRPr="00000000" w:rsidDel="00000000">
        <w:rPr>
          <w:rtl w:val="0"/>
        </w:rPr>
        <w:t xml:space="preserve"> apakšpunktā minētajām projekta pārējām tiešajām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ārvalstu komandējumu izmaksas finansējuma saņēmēja projekta vadītājam un īstenošanas personālam un projekta vadības un īstenošanas personāla iekšzemes komandējumu un darba braucienu izmaksas atbilstoši normatīvajiem aktiem par kārtību, kādā atlīdzināmi ar komandējumu saistītie izdevumi, ja tās ir pamatotas un saistītas ar projekta īstenošanu. Iekšzemes komandējumu izmaksas tiek segtas atbilstoši Finanšu ministrijas metodikai "Vienas vienības izmaksu standarta likmes aprēķina un piemērošanas metodika iekšzemes komandējumu izmaksām darbības programmas "Izaugsme un nodarbinātība"  un Eiropas Savienības kohēzijas politikas programmas 2021.–2027. gadam īstenošanai";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jaunradītu projekta vadības un īstenošanas personāla darba vietu aprīkojuma, biroja mēbeļu, tehnikas, datorprogrammu un licenču iegādes vai īres izmaksas ne vairāk kā 3000 </w:t>
      </w:r>
      <w:r w:rsidR="00000000" w:rsidRPr="00000000" w:rsidDel="00000000">
        <w:rPr>
          <w:i w:val="1"/>
          <w:rtl w:val="0"/>
        </w:rPr>
        <w:t xml:space="preserve">euro</w:t>
      </w:r>
      <w:r w:rsidR="00000000" w:rsidRPr="00000000" w:rsidDel="00000000">
        <w:rPr>
          <w:rtl w:val="0"/>
        </w:rPr>
        <w:t xml:space="preserve"> vienai darba vietai visā projekta īstenošanas laikā, ja projekta vadības un īstenošanas personāls ir nodarbināts projektā uz darba līguma pamata. Ja projekta vadības un īstenošanas personāls ir nodarbināts nepilnu darba laiku vai daļlaiku, jaunradītas darba vietas aprīkojuma iegādes vai īres izmaksas ir attiecināmas proporcionāli darba slodzes procentuālajam sadalījumam, bet daļlaika noslodzes gadījumā – ņemot vērā darbinieka iesaistes periodu projektā pret kopējo projekta īstenošanas ilgumu;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mācību, darba grupu, semināru, konferenču, pieredzes apmaiņas, ideju konkursu un citu prasmju paaugstināšanas pasākumu organizēšanu un īstenošanu saistītās izmaksas,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lektoru, ekspertu, konsultantu, moderatoru pakalpojumi (ieskaitot honorārus, ārvalstu un iekšzemes ceļošanas izdevumus), tai skaitā ekspertu pakalpojumi pašvaldību administrācijas darba un pakalpojumu efektivitātes uzlabošanas ideju tālākai attīstībai. Degvielas izmaksas vieglajam transportlīdzeklim un reģionālā sabiedriskā un vietējā sabiedriskā transporta izmaksas tiek segtas atbilstoši Finanšu ministrijas metodikai "Vienas vienības izmaksu standarta likmes aprēķina un piemērošanas metodika 1 km izmaksām darbības programmas "Izaugsme un nodarbinātība" un Eiropas Savienības kohēzijas politikas programmas 2021.–2027. gadam īstenošanai" . Iekšzemes komandējumu izmaksas tiek segtas atbilstoši Finanšu ministrijas metodikai "Vienas vienības izmaksu standarta likmes aprēķina un piemērošanas metodika iekšzemes komandējumu izmaksām darbības programmas "Izaugsme un nodarbinātība" un Eiropas Savienības kohēzijas politikas programmas 2021.–2027. gadam īstenošanai";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mērķa grupas stažēšanās pasākumu nodrošināšana uzņēmumos un organizācijās Latvijā vai citās Eiropas Savienības dalībvalstīs (komandējuma izdevumi, apdrošināšanas izmaksas, dalības maksa pieredzes apmaiņas pasākumos). Iekšzemes komandējumu izmaksas tiek segtas atbilstoši Finanšu ministrijas metodikai "Vienas vienības izmaksu standarta likmes aprēķina un piemērošanas metodika iekšzemes komandējumu izmaksām darbības programmas "Izaugsme un nodarbinātība"  un Eiropas Savienības kohēzijas politikas programmas 2021.–2027. gadam īstenošanai";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telpu īres maksa (ja projekta aktivitāšu īstenošanai nepieciešams īrēt telpas ārpus finansējuma saņēmēja juridiskās un faktiskās uzturēšanās adreses);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ēdināšanas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tulkošanas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izdales materiālu nodrošinājuma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pandusu noma, indukcijas cilpu noma, zīmju valodas tulku pakalpojumu izmaksas, subtitrēšanas un reāllaika transkripcijas pakalpojumu izmaksas, ja tas ir nepieciešams vides un informācijas piekļūstamības nodrošināšanai;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citas ar pasākumu organizēšanu un īstenošanu saistītās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ekspertu pakalpojumi un veiktie izvērtējumi šo noteikumu </w:t>
      </w:r>
      <w:r w:rsidR="00000000" w:rsidRPr="00000000" w:rsidDel="00000000">
        <w:rPr>
          <w:rtl w:val="0"/>
        </w:rPr>
        <w:t xml:space="preserve">18.1.</w:t>
      </w:r>
      <w:r w:rsidR="00000000" w:rsidRPr="00000000" w:rsidDel="00000000">
        <w:rPr>
          <w:rtl w:val="0"/>
        </w:rPr>
        <w:t xml:space="preserve"> un </w:t>
      </w:r>
      <w:r w:rsidR="00000000" w:rsidRPr="00000000" w:rsidDel="00000000">
        <w:rPr>
          <w:rtl w:val="0"/>
        </w:rPr>
        <w:t xml:space="preserve">18.2.</w:t>
      </w:r>
      <w:r w:rsidR="00000000" w:rsidRPr="00000000" w:rsidDel="00000000">
        <w:rPr>
          <w:rtl w:val="0"/>
        </w:rPr>
        <w:t xml:space="preserve"> apakšpunktā minēto darbību plānošanai un īstenošanai;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transporta pakalpojumu izmaksas (maksa par degvielu, transportlīdzekļu noma, transporta pakalpojumu pirkšana, maksa par sabiedriskā transporta izmantošanu), kas ir daļa no iekšzemes komandējumu vai darba braucienu izmaksām. Degvielas izmaksas vieglajam transportlīdzeklim un reģionālā sabiedriskā un vietējā sabiedriskā transporta izmaksas tiek segtas atbilstoši Finanšu ministrijas metodikai "Vienas vienības izmaksu standarta likmes aprēķina un piemērošanas metodika 1 km izmaksām darbības programmas "Izaugsme un nodarbinātība" un Eiropas Savienības kohēzijas politikas programmas 2021.–2027. gadam īstenošanai";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projekta darbībām tieši saistīto komunikācijas un vizuālās identitātes prasību nodrošināšanas pasākumu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20.2.</w:t>
      </w:r>
      <w:r w:rsidR="00000000" w:rsidRPr="00000000" w:rsidDel="00000000">
        <w:rPr>
          <w:rtl w:val="0"/>
        </w:rPr>
        <w:t xml:space="preserve"> apakšpunktā minētās netiešās attiecināmās izmaksas plāno kā vienu izmaksu pozīciju, piemērojot netiešo izmaksu vienoto likmi 15 procentu apmērā no šo noteikumu </w:t>
      </w:r>
      <w:r w:rsidR="00000000" w:rsidRPr="00000000" w:rsidDel="00000000">
        <w:rPr>
          <w:rtl w:val="0"/>
        </w:rPr>
        <w:t xml:space="preserve">21.1.</w:t>
      </w:r>
      <w:r w:rsidR="00000000" w:rsidRPr="00000000" w:rsidDel="00000000">
        <w:rPr>
          <w:rtl w:val="0"/>
        </w:rPr>
        <w:t xml:space="preserve"> apakšpunktā minētajām tiešajām attiecināmajām personāla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attiecināmām izmaksām saskaņā ar regulas Nr. </w:t>
      </w:r>
      <w:r w:rsidR="00000000" w:rsidRPr="00000000" w:rsidDel="00000000">
        <w:rPr>
          <w:rtl w:val="0"/>
        </w:rPr>
        <w:t xml:space="preserve">2021/1060</w:t>
      </w:r>
      <w:r w:rsidR="00000000" w:rsidRPr="00000000" w:rsidDel="00000000">
        <w:rPr>
          <w:rtl w:val="0"/>
        </w:rPr>
        <w:t xml:space="preserve"> 64. panta 1. punkta "c" apakšpunktā ietvertajiem nosacījumiem.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Izmaksas ir attiecināmas no brīža, kad tiek noslēgta vienošanās par projekta īstenošanu.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Projekta īstenošanas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Finansējuma saņēmējs projektu īsteno saskaņā ar noslēgto vienošanos par projekta īstenošanu, bet ne ilgāk kā līdz 2029. gada 31. decembrim.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Finansējuma saņēmējs nodrošina, lai pasākuma ietvaros plānotais atbalsts nepārklātos ar citiem valsts un ārvalstu finanšu atbalsta instrumentiem.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šo noteikumu </w:t>
      </w:r>
      <w:r w:rsidR="00000000" w:rsidRPr="00000000" w:rsidDel="00000000">
        <w:rPr>
          <w:rtl w:val="0"/>
        </w:rPr>
        <w:t xml:space="preserve">8.</w:t>
      </w:r>
      <w:r w:rsidR="00000000" w:rsidRPr="00000000" w:rsidDel="00000000">
        <w:rPr>
          <w:rtl w:val="0"/>
        </w:rPr>
        <w:t xml:space="preserve"> punktā minētajiem rādītājiem;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 horizontālo principu "Vienlīdzība, iekļaušana, nediskriminācija un pamattiesību ievērošana" un uzkrāj šādus datus par projekta ietekmi uz horizontālo principu rādītājiem (ja attiecināms):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izstrādāto vai pilnveidoto stratēģiju, izglītības programmu, metodisko līdzekļu, vadlīniju, mācību līdzekļu (tai skaitā digitālo) mediju kampaņu, semināru un komunikācijas pasākumu skaits, kuros integrēti jautājumi par dzimumu līdztiesību, personu ar invaliditāti vienlīdzīgām iespējām, diskriminācijas novēršanu vecuma, etniskās piederības un citu iemeslu dēļ, kā arī pamattiesību jautājumi, tostarp par tiesiskajiem un praktiskajiem aspektiem;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personu skaits, kas ir piedalījušās apmācību programmās, kurās integrēti jautājumi par dzimumu līdztiesību, personu ar invaliditāti vienlīdzīgām iespējām, diskriminācijas novēršanu vecuma, etniskās piederības un citu iemeslu dēļ, kā arī pamattiesību jautājumi, tostarp par tiesiskajiem un praktiskajiem aspektiem;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komunikācijas un vizuālās identitātes prasības saskaņā ar regulas Nr. </w:t>
      </w:r>
      <w:r w:rsidR="00000000" w:rsidRPr="00000000" w:rsidDel="00000000">
        <w:rPr>
          <w:rtl w:val="0"/>
        </w:rPr>
        <w:t xml:space="preserve">2021/1060</w:t>
      </w:r>
      <w:r w:rsidR="00000000" w:rsidRPr="00000000" w:rsidDel="00000000">
        <w:rPr>
          <w:rtl w:val="0"/>
        </w:rPr>
        <w:t xml:space="preserve"> 47. un 50. pantu un normatīvajiem aktiem par kārtību, kādā Eiropas Savienības fondu vadībā iesaistītās institūcijas nodrošina šo fondu ieviešanu 2021.–2027.gada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un šo noteikumu </w:t>
      </w:r>
      <w:r w:rsidR="00000000" w:rsidRPr="00000000" w:rsidDel="00000000">
        <w:rPr>
          <w:rtl w:val="0"/>
        </w:rPr>
        <w:t xml:space="preserve">14.</w:t>
      </w:r>
      <w:r w:rsidR="00000000" w:rsidRPr="00000000" w:rsidDel="00000000">
        <w:rPr>
          <w:rtl w:val="0"/>
        </w:rPr>
        <w:t xml:space="preserve"> punktā minētais sadarbības partneris nodrošina interešu konflikta neesību saskaņā ar Eiropas Parlamenta un Padomes 2018. gada 18. jūlija Regulas (ES, Euratom) Nr.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paraksta interešu konflikta neesības apliecinājumu.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Finansējuma saņēmējs savā tīmekļvietnē ievieto aktuālo informāciju par projekta īstenošanu.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saņēmējs projekta īstenošanai nepieciešamo preču un pakalpojumu iegādi veic saskaņā ar normatīvajiem aktiem publisko iepirkumu jomā, īstenojot atklātu, pārredzamu, nediskriminējošu un konkurenci nodrošinošu konkursa procedūru. Atbalstāma ir vides prasību integrācija preču un pakalpojumu iepirkumos, kā arī vides piekļūstamības un izmantojamības nodrošināšana – zaļais publiskais iepirkums – un, kur tas ir attiecināms un atbilstošs ieguldījumu specifikai, īsteno sociāli atbildīgu iepirkumu.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23-TA-954</w:t>
    </w:r>
    <w:r>
      <w:br/>
    </w:r>
    <w:r w:rsidR="00000000" w:rsidRPr="00000000" w:rsidDel="00000000">
      <w:rPr>
        <w:rtl w:val="0"/>
      </w:rPr>
      <w:t xml:space="preserve">Izdrukāts 29.07.2026. 23.14 - 1.0.VK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23-TA-954</w:t>
    </w:r>
    <w:r>
      <w:br/>
    </w:r>
    <w:r w:rsidR="00000000" w:rsidRPr="00000000" w:rsidDel="00000000">
      <w:rPr>
        <w:rtl w:val="0"/>
      </w:rPr>
      <w:t xml:space="preserve">Izdrukāts 29.07.2026. 23.14 - 1.0.VK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noteikumu_projekts_23-TA-954.docx</dc:title>
</cp:coreProperties>
</file>

<file path=docProps/custom.xml><?xml version="1.0" encoding="utf-8"?>
<Properties xmlns="http://schemas.openxmlformats.org/officeDocument/2006/custom-properties" xmlns:vt="http://schemas.openxmlformats.org/officeDocument/2006/docPropsVTypes"/>
</file>