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13. februāra noteikumos Nr. 87 "Grāmatvedības uzskaites kārtība budžeta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29.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13. februāra noteikumos Nr. 87 "Grāmatvedības uzskaites kārtība budžeta iestādēs" (Latvijas Vēstnesis, 2018, 34. nr.; 2021, 215., 248. nr.; 2022, 175. nr.; 2023, 124. nr.; 2024, 130. nr.; 2025, 246.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Ilgtermiņa ieguldījumu atzīst arī, ja to iegādājas, lai bez atlīdzības nodotu vispārējās valdības sektora struktūrām, izņemot to kontrolētus un finansētus komersantus (turpmāk – vispārējās valdības sektora 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 krājumu vienības un, ja aktīvu patieso vērtību nav iespējams noteikt, katru novērtē viena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Muzeju krājuma sastāvā esošos nekustamos īpašumus budžeta iestāde uzskaita pamatlīdzekļu kontos atbilstoši to lietojumam un analītiskajā uzskaitē nodala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"169.2. par citiem finanšu ieguldījumiem un pārtrauc pašu kapitāla metodes lietošanu, ja budžeta iestādes balsstiesības kapitālsabiedrībā ir mazākas par 20,001 procentu. Finanšu ieguldījuma uzskaites vērtība datumā, kad ieguldījumu pārstāj klasificēt par līdzdalību radniecīgajā kapitālsabiedrībā, ir uzskatāma par tā izmaksu sākotnējo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Budžeta iestāde līdzdalību asociētajā kapitālsabiedrībā pārklasificē uz citiem finanšu ieguldījumiem un pārtrauc pašu kapitāla metodes lietošanu, ja tās balsstiesības kapitālsabiedrībā ir mazākas par 20,001 procentu. Finanšu ieguldījuma uzskaites vērtība datumā, kad ieguldījumu pārstāj klasificēt par līdzdalību asociētajā kapitālsabiedrībā, ir uzskatāma par tā izmaksu sākotnējo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Nākamo periodu izdevumos uzskaita arī maksājumus par atlīdzību un sociālajiem norēķiniem par nākamajiem periodiem, kā arī avansā pārskaitītos transferta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199.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"199. Krājumi ir īstermiņa aktīvi, kas paredzēti darbības nodrošināšanai, atsavināšanai un materiālu vai izejvielu veidā iesaistīti vai tiks izlietoti saimnieciskās darbības procesā, kā arī šo noteikumu 200. punktā minētie aktīvu 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Pārdošanai pieejama finanšu aktīva (nekotēta pašu kapitāla instrumenta, ja budžeta iestādei pieder mazāk par 20,001 procentu balsstiesību attiecīgajā kapitālsabiedrībā, vai atvasinātā finanšu instrumenta, kas saistīts ar šādu nekotētu pašu kapitāla instrumentu un par kuru veicams norēķins ar šāda nekotēta pašu kapitāla instrumenta piegādi) uzskaitei lieto izmaksu metodi, ja tā patieso vērtību nevar ticami novērtēt."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456.</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"456.</w:t>
      </w:r>
      <w:r w:rsidR="00000000" w:rsidRPr="00000000" w:rsidDel="00000000">
        <w:rPr>
          <w:vertAlign w:val="superscript"/>
          <w:rtl w:val="0"/>
        </w:rPr>
        <w:t xml:space="preserve">11</w:t>
      </w:r>
      <w:r w:rsidR="00000000" w:rsidRPr="00000000" w:rsidDel="00000000">
        <w:rPr>
          <w:rtl w:val="0"/>
        </w:rPr>
        <w:t xml:space="preserve"> Grozījumus šo noteikumu 181. punktā un 1. pielikumā uzsāk piemērot, sagatavojot gada pārskatu par 2027. gadu, atbilstoši šo noteikumu 432.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26-TA-52</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26-TA-52</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noteikumu_(grozījumu)_projekts_26-TA-52.docx</dc:title>
</cp:coreProperties>
</file>

<file path=docProps/custom.xml><?xml version="1.0" encoding="utf-8"?>
<Properties xmlns="http://schemas.openxmlformats.org/officeDocument/2006/custom-properties" xmlns:vt="http://schemas.openxmlformats.org/officeDocument/2006/docPropsVTypes"/>
</file>