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2,547896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uz kārtējā gada 30. septembri par personu skaitu vecuma grupās un apmeklējumu skaitu pie ģimenes ārsta katrā vecuma grupā,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480,73 </w:t>
      </w:r>
      <w:r w:rsidR="00000000" w:rsidRPr="00000000" w:rsidDel="00000000">
        <w:rPr>
          <w:i w:val="1"/>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142,88 </w:t>
      </w:r>
      <w:r w:rsidR="00000000" w:rsidRPr="00000000" w:rsidDel="00000000">
        <w:rPr>
          <w:i w:val="1"/>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142,88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Svītrots.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75,00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jūnijam,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Šo noteikumu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Šo noteikumu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Ģimenes ārsta un viņa praksē nodarbināto ārstniecības personu darba laiks nedrīkst pilnīgi vai kādā daļā sakrist ar tā paša ģimenes ārsta vai viņa praksē nodarbinātā darba laiku citā iestādē.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šo noteikumu 42. punktā noteiktajiem gadījumiem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teritorijā,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pilsētām un novadu pagastiem – 3,56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novadiem – 0,61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noteikumu_konsolidētā_versija_p11_22-TA-2298.docx</dc:title>
</cp:coreProperties>
</file>

<file path=docProps/custom.xml><?xml version="1.0" encoding="utf-8"?>
<Properties xmlns="http://schemas.openxmlformats.org/officeDocument/2006/custom-properties" xmlns:vt="http://schemas.openxmlformats.org/officeDocument/2006/docPropsVTypes"/>
</file>