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februārī (prot. Nr. 7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 (Latvijas Vēstnesis, 2024, 133. nr.; 2025, 96.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 īstenošanai plānotais un pieejamais kopējais attiecināmais finansējums ir 14 621 912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12 428 625 </w:t>
      </w:r>
      <w:r w:rsidR="00000000" w:rsidRPr="00000000" w:rsidDel="00000000">
        <w:rPr>
          <w:i w:val="1"/>
          <w:rtl w:val="0"/>
        </w:rPr>
        <w:t xml:space="preserve">euro</w:t>
      </w:r>
      <w:r w:rsidR="00000000" w:rsidRPr="00000000" w:rsidDel="00000000">
        <w:rPr>
          <w:rtl w:val="0"/>
        </w:rPr>
        <w:t xml:space="preserve"> un nacionālais līdzfinansējums, ko veido valsts budžeta līdzfinansējums, – 2 193 287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Projekta iesniedzējs plāno projektā sasniedzamos uzraudzības rādītājus un Eiropas Reģionālās attīstības fonda finansējumu atbilstoši šo noteikumu 4. punktā minētajiem rādītājiem un šo noteikumu 7. punktā norādītajam finansējumam."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30.7.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 nodrošina, ka nekustamais īpašums, kurā tiks veiktas projektā paredzētās darbības, projekta īstenošanas laikā un vismaz piecus gadus pēc noslēguma maksājuma veikšanas ir projekta iesniedzēja īpašumā, valdījumā vai turējumā vai ir iegūta apbūves tiesība uz šo laikposmu;".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V nodaļu.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25-TA-2924</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25-TA-2924</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noteikumu_(grozījumu)_projekts_25-TA-2924.docx</dc:title>
</cp:coreProperties>
</file>

<file path=docProps/custom.xml><?xml version="1.0" encoding="utf-8"?>
<Properties xmlns="http://schemas.openxmlformats.org/officeDocument/2006/custom-properties" xmlns:vt="http://schemas.openxmlformats.org/officeDocument/2006/docPropsVTypes"/>
</file>