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Procesu norises elektroniskā vidē valsts platformas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</w:t>
      </w:r>
      <w:r w:rsidR="00000000" w:rsidRPr="00000000" w:rsidDel="00000000">
        <w:rPr>
          <w:rStyle w:val="paragraph"/>
          <w:rtl w:val="0"/>
        </w:rPr>
        <w:t xml:space="preserve">Procesu norises elektroniskā vidē valsts platformas likumā</w:t>
      </w:r>
      <w:r w:rsidR="00000000" w:rsidRPr="00000000" w:rsidDel="00000000">
        <w:rPr>
          <w:rStyle w:val="paragraph"/>
          <w:rtl w:val="0"/>
        </w:rPr>
        <w:t xml:space="preserve"> (Latvijas Vēstnesis, 2022, 57.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11. pantu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"(4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E-lietas uzraudzības padomes loceklis vai finanšu ministrs dalībai E-lietas uzraudzības padomes sēdē var norīkot citu personu. Pirms E-lietas uzraudzības padomes sēdes E-lietas uzraudzības padomes loceklis vai finanšu ministrs iesniedz Tieslietu ministrijā informāciju par norīkoto personu."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pārejas noteikumu 2. 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 Šā likuma 3. panta sesto daļu nepiemēro līdz 2023. gada 31. decembrim."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22-TA-2280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22-TA-2280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likumprojekts_(grozījumi)_22-TA-2280.docx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