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2.2.3. specifiskā atbalsta mērķa "Uzlabot dabas aizsardzību un bioloģisko daudzveidību, "zaļo" infrastruktūru, it īpaši pilsētvidē, un samazināt piesārņojumu" 2.2.3.5. pasākuma "Gaisa piesārņojuma samazināšanas pasākumi pašvaldībās" pirmās un otrās projektu iesniegumu atlases kārtas projektu saraksts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3"/>
        <w:gridCol w:w="4241"/>
        <w:gridCol w:w="2288"/>
        <w:gridCol w:w="2177"/>
        <w:tblGridChange w:id="0">
          <w:tblGrid>
            <w:gridCol w:w="333"/>
            <w:gridCol w:w="4241"/>
            <w:gridCol w:w="2288"/>
            <w:gridCol w:w="21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Eiropas Reģionālās attīstības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minimālais rezultāta rādītājs: minimālais iedzīvotāju skaits, kas gūst labumu no gaisa kvalitātes pasākumiem</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Projektu iesniegumu pirmā atlases 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Rīgas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2 535 430 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43 183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Liepājas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1 690 287 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4 801</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Projektu iesniegumu otrā atlases 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Rēzeknes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845 143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1 888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noteikumu_konsolidētā_versija_p_25-TA-183.docx</dc:title>
</cp:coreProperties>
</file>

<file path=docProps/custom.xml><?xml version="1.0" encoding="utf-8"?>
<Properties xmlns="http://schemas.openxmlformats.org/officeDocument/2006/custom-properties" xmlns:vt="http://schemas.openxmlformats.org/officeDocument/2006/docPropsVTypes"/>
</file>