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nodokļu piemērošanu brīvostās un speciālajās ekonomiskajās zonās"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nodokļu piemērošanu brīvostās un speciālajās ekonomiskajās zonās" (Latvijas Republikas Saeimas un Ministru Kabineta Ziņotājs, 2001, 17. nr.; 2003, 13. nr.; 2004, 9. nr.; 2005, 4. nr.; 2007, 3. nr.; Latvijas Vēstnesis, 2011, 80. nr.; 2013, 80., 187. nr.; 2014, 133. nr.; 2016, 125. nr.; 2018, 47. nr.; 2020, 102. nr.; 2021, 99. nr.; 2022, 45.A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3. panta devīto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Likuma "Par akcīzes nodokli" 14. panta 2.</w:t>
      </w:r>
      <w:r w:rsidR="00000000" w:rsidRPr="00000000" w:rsidDel="00000000">
        <w:rPr>
          <w:vertAlign w:val="superscript"/>
          <w:rtl w:val="0"/>
        </w:rPr>
        <w:t xml:space="preserve">3</w:t>
      </w:r>
      <w:r w:rsidR="00000000" w:rsidRPr="00000000" w:rsidDel="00000000">
        <w:rPr>
          <w:rtl w:val="0"/>
        </w:rPr>
        <w:t xml:space="preserve"> daļā noteikto likmi piemēro likuma "Par akcīzes nodokli" 14. panta pirmās daļas 3., 4. un 6. punktā minētajiem naftas produktiem (arī tad, ja tiem pievienota biodīzeļdegviela, kas pilnībā iegūta no biomasas, vai parafinizēta dīzeļdegviela, kas iegūta no biomasas), kuri ir iezīmēti (marķēti) saskaņā ar likuma "Par akcīzes nodokli" prasībām un kurus licencēta kapitālsabiedrība, zonas kapitālsabiedrība, zonas pārvalde vai brīvostas pārvalde brīvās zonas teritorijā vai brīvostas teritorijā izmanto: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stacionārās iekārtās;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celtņos un citos tamlīdzīgos objektos;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iekārtās, kuras tiek izmantotas celtniecības darbos brīvās zonas teritorijā vai brīvostas teritorijā;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tehnikā, kas pēc savas konstrukcijas nav paredzēta satiksmei pa koplietošanas ceļiem."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23-TA-2373</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23-TA-2373</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likumprojekts_(grozījumi)_23-TA-2373.docx</dc:title>
</cp:coreProperties>
</file>

<file path=docProps/custom.xml><?xml version="1.0" encoding="utf-8"?>
<Properties xmlns="http://schemas.openxmlformats.org/officeDocument/2006/custom-properties" xmlns:vt="http://schemas.openxmlformats.org/officeDocument/2006/docPropsVTypes"/>
</file>