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pasažieru komercpārvadājumiem ar vieglo automobili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29. panta devīto daļu, 35. panta 5.</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un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sabiedrība ar ierobežotu atbildību "Autotransporta direkcija" (turpmāk – Autotransporta direkcija) izsniedz un anulē speciālo atļauju (licenci) un licences kartīti pasažieru komercpārvadājumiem ar vieglo automobili (turpmāk – pārvadājumu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autotransporta līdzekļa aprīkojumam un tā izvietojumam;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pārvadājumu pakalpojumi.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Speciālās atļaujas (licences) izsniegšanas un anulēšanas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atļaujas (licences) saņemšanai pārvadātājs Autotransporta direkcijā iesniedz iesniegumu atbilstoši normatīvajiem aktiem par kārtību, kādā iesniedz iesniegumu iestādē, vai elektroniski, aizpildot speciālu tiešsaistes formu Autotransporta direkcijas tīmekļvietnē www.atd.lv (e-pakalpojums), norādot elektroniskā pasta adresi saziņai. Identifikācijai izmanto Valsts reģionālās attīstības aģentūras nodrošinātajā vienotās pieteikšanās modulī pieejamos personas identifikācijas 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direkcija pēc šo noteikumu </w:t>
      </w:r>
      <w:r w:rsidR="00000000" w:rsidRPr="00000000" w:rsidDel="00000000">
        <w:rPr>
          <w:rtl w:val="0"/>
        </w:rPr>
        <w:t xml:space="preserve">2.</w:t>
      </w:r>
      <w:r w:rsidR="00000000" w:rsidRPr="00000000" w:rsidDel="00000000">
        <w:rPr>
          <w:rtl w:val="0"/>
        </w:rPr>
        <w:t xml:space="preserve"> punktā minētā iesnieguma saņemšanas septiņu darbdienu laikā pārbauda pārvadātāja atbilstību Autopārvadājumu likuma 35. panta 5.</w:t>
      </w:r>
      <w:r w:rsidR="00000000" w:rsidRPr="00000000" w:rsidDel="00000000">
        <w:rPr>
          <w:vertAlign w:val="superscript"/>
          <w:rtl w:val="0"/>
        </w:rPr>
        <w:t xml:space="preserve">1</w:t>
      </w:r>
      <w:r w:rsidR="00000000" w:rsidRPr="00000000" w:rsidDel="00000000">
        <w:rPr>
          <w:rtl w:val="0"/>
        </w:rPr>
        <w:t xml:space="preserve"> daļā minētajām prasībām komercreģistrā un Valsts ieņēmumu dienesta publiskojamo datu bāzē un atbilstības gadījumā izsniedz speciālo atļauju (licenci).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Autotransporta direkcija Autopārvadātāju informatīvajā datu bāzē saistībā ar izsniegto speciālo atļauju (licenci)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nosaukumu, reģistrācijas numuru komercreģistrā, 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atļaujas (licences)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speciālās atļaujas (licences) izsniegšanu un derīguma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konstatēta pārvadātāja neatbilstība kādai no Autopārvadājumu likuma 35. panta 5.</w:t>
      </w:r>
      <w:r w:rsidR="00000000" w:rsidRPr="00000000" w:rsidDel="00000000">
        <w:rPr>
          <w:vertAlign w:val="superscript"/>
          <w:rtl w:val="0"/>
        </w:rPr>
        <w:t xml:space="preserve">1</w:t>
      </w:r>
      <w:r w:rsidR="00000000" w:rsidRPr="00000000" w:rsidDel="00000000">
        <w:rPr>
          <w:rtl w:val="0"/>
        </w:rPr>
        <w:t xml:space="preserve"> daļā minētajām prasībām, Autotransporta direkcija atsaka izsniegt speciālo atļauju (licenci). Paziņojumu par atteikumu pārvadātājam nosūta elektroniski, neizmantojot drošu elektronisko parakstu.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Autotransporta direkcija lēmumu par speciālās atļaujas (licences) anulēšanu var pieņemt Autopārvadājumu likuma 35. panta 6.</w:t>
      </w:r>
      <w:r w:rsidR="00000000" w:rsidRPr="00000000" w:rsidDel="00000000">
        <w:rPr>
          <w:vertAlign w:val="superscript"/>
          <w:rtl w:val="0"/>
        </w:rPr>
        <w:t xml:space="preserve">1</w:t>
      </w:r>
      <w:r w:rsidR="00000000" w:rsidRPr="00000000" w:rsidDel="00000000">
        <w:rPr>
          <w:rtl w:val="0"/>
        </w:rPr>
        <w:t xml:space="preserve"> daļā minētajos gadījumos. Lēmumu par speciālās atļaujas (licences) anulēšanu nosūta elektroniski, neizmantojot drošu elektronisko parakstu.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Autopārvadājumu likuma 35. panta 6.</w:t>
      </w:r>
      <w:r w:rsidR="00000000" w:rsidRPr="00000000" w:rsidDel="00000000">
        <w:rPr>
          <w:vertAlign w:val="superscript"/>
          <w:rtl w:val="0"/>
        </w:rPr>
        <w:t xml:space="preserve">1</w:t>
      </w:r>
      <w:r w:rsidR="00000000" w:rsidRPr="00000000" w:rsidDel="00000000">
        <w:rPr>
          <w:rtl w:val="0"/>
        </w:rPr>
        <w:t xml:space="preserve"> daļas 2. punktā minētajā gadījumā Autotransporta direkcija lēmuma pieņemšanai pārbauda informāciju par pārvadātāja nodokļu saistību izpildi Valsts ieņēmumu dienesta publiskojamo datu bāzē, bet par administratīvo sodu izpildi, kuri piemēroti par pārvadājumu pakalpojumus regulējošo noteikumu pārkāpumiem, – Sodu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Licences kartītes izsniegšanas un anulēšanas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Licences kartītes saņemšanai pārvadātājs iesniedz iesniegumu Autotransporta direkcijā šo noteikumu </w:t>
      </w:r>
      <w:r w:rsidR="00000000" w:rsidRPr="00000000" w:rsidDel="00000000">
        <w:rPr>
          <w:rtl w:val="0"/>
        </w:rPr>
        <w:t xml:space="preserve">2.</w:t>
      </w:r>
      <w:r w:rsidR="00000000" w:rsidRPr="00000000" w:rsidDel="00000000">
        <w:rPr>
          <w:rtl w:val="0"/>
        </w:rPr>
        <w:t xml:space="preserve">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Autotransporta direkcija septiņu darbdienu laikā no iesnieguma saņemšanas pārbauda autotransporta līdzekļa atbilstību Autopārvadājumu likuma 29. panta ceturtajā un piektajā daļā minētajām prasībām un atbilstības gadījumā izsniedz licences kartīti.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Autotransporta direkcija Autopārvadātāju informatīvajā datu bāzē saistībā ar licences kartītes izsniegšanu norāda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pārvadātāja nosaukumu;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atļaujas (licences)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līdzekļa valsts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izsniegtās licences kartītes numuru un derīguma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Licences kartīte stājas spēkā dienā, kad informācija par licences kartītes izsniegšanu tiek publicēta Autotransporta direkcijas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konstatē neatbilstību licences kartītes saņemšanas prasībām, Autotransporta direkcija atsaka izsniegt licences kartīti. Paziņojumu par atteikumu pārvadātājam nosūta elektroniski, neizmantojot drošu elektronisko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Autotransporta direkcija lēmumu par licences kartītes anulēšanu var pieņemt Autopārvadājumu likuma 35. panta 6.</w:t>
      </w:r>
      <w:r w:rsidR="00000000" w:rsidRPr="00000000" w:rsidDel="00000000">
        <w:rPr>
          <w:vertAlign w:val="superscript"/>
          <w:rtl w:val="0"/>
        </w:rPr>
        <w:t xml:space="preserve">3</w:t>
      </w:r>
      <w:r w:rsidR="00000000" w:rsidRPr="00000000" w:rsidDel="00000000">
        <w:rPr>
          <w:rtl w:val="0"/>
        </w:rPr>
        <w:t xml:space="preserve"> daļā minētajā gadījumā. Lēmumu par licences kartītes anulēšanu nosūta elektroniski, neizmantojot drošu elektronisko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autotransporta līdzekļa aprīkošanai, kuru izmanto pārvadājumu pakalpojumos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tīmekļvietnes vai mobilās lietotnes pakalpojuma sniedzēju un pārvadātāju izvieto ārpusē uz autotransporta līdzekļa abām priekšējām durvīm (neizmantojot durvju stikloto 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Autotransporta līdzekļa salonā uz priekšējā paneļa pasažiera pusē jāizvieto informācija par autovadītāju – vārds, uzvārds, autovadītāja reģistrācijas numurs taksometra vadītāju reģistrā – un pārvadātāja nosaukums. Minētā informācija jānorāda datorrakstā uz balta fona ar melniem burtiem un cipariem, kuru izmērs ir ne mazāks par trim milimetriem.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veic pārvadājumu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Pasažieris pārvadājumu pakalpojumu nolīgst un samaksu veic Autopārvadājumu likuma 37. panta piektajā daļā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Autovadītājs sniedz pārvadājumu pakalpojumus, ievērojot Autopārvadājumu likuma 40. pantā desmitajā un trīspadsmitajā daļā noteiktās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Autovadītājs akceptē vai atsaka pārvadājumu pakalpojumu, izmantojot tīmekļvietni vai mobilo lietotni.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Pārvadātāji, kuriem līdz šo noteikumu spēkā stāšanās dienai izsniegtas speciālās atļaujas (licences), nodrošina autotransporta līdzekļa atbilstību šo noteikumu </w:t>
      </w:r>
      <w:r w:rsidR="00000000" w:rsidRPr="00000000" w:rsidDel="00000000">
        <w:rPr>
          <w:rtl w:val="0"/>
        </w:rPr>
        <w:t xml:space="preserve">15.</w:t>
      </w:r>
      <w:r w:rsidR="00000000" w:rsidRPr="00000000" w:rsidDel="00000000">
        <w:rPr>
          <w:rtl w:val="0"/>
        </w:rPr>
        <w:t xml:space="preserve"> punktā minētajām prasībām līdz 2019. gada 30.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Autotransporta direkcija līdz 2020. gada 31. martam izveido automatizētu speciālo atļauju (licenču) izsniegšanas sistēmu. Ja līdz 2020. gada 31. martam nav nodrošināta automatizēta speciālo atļauju (licenču) izsniegšana, no 2020. gada 1. aprīļa speciālās atļaujas (licences) izsniedz Autotransporta direkcijas izveidota licencēšanas komisija vismaz triju cilvēku sastāvā.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Noteikumi stājas spēkā 2019. gada 1.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22-TA-3144</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22-TA-3144</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noteikumu_konsolidētā_versija_22-TA-3144.docx</dc:title>
</cp:coreProperties>
</file>

<file path=docProps/custom.xml><?xml version="1.0" encoding="utf-8"?>
<Properties xmlns="http://schemas.openxmlformats.org/officeDocument/2006/custom-properties" xmlns:vt="http://schemas.openxmlformats.org/officeDocument/2006/docPropsVTypes"/>
</file>