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Mobilizācijas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Mobilizācijas likumā (Latvijas Republikas Saeimas un Ministru Kabineta Ziņotājs, 2002, 14. nr.; 2003, 24. nr.; 2004, 12. nr.; 2006, 12., 24. nr.; Latvijas Vēstnesis, 2010, 157. nr.; 2019, 259.A nr.; 2021, 104. nr.; 2022, 204.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4., 5. un 6.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2.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 pants. Likuma mērķis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noteikt tiesiskos un organizatoriskos pamatus Nacionālo bruņoto spēku un valsts civilās aizsardzības sistēmas mobilizācijas sagatavošanai un īstenošanai, valsts un pašvaldību institūciju, privāto tiesību juridisko personu, kā arī fizisko personu pienākumus un atbildību mobilizācijas jautājumos."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9. panta 14.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10.</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11. pantu ar piekto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Aizsardzības industrijas attīstības atbalstu organizē un īsteno saskaņā ar Aizsardzības industrijas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Aizsardzības industrijas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22-TA-2222</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22-TA-2222</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likumprojekts_(grozījumi)_22-TA-2222.docx</dc:title>
</cp:coreProperties>
</file>

<file path=docProps/custom.xml><?xml version="1.0" encoding="utf-8"?>
<Properties xmlns="http://schemas.openxmlformats.org/officeDocument/2006/custom-properties" xmlns:vt="http://schemas.openxmlformats.org/officeDocument/2006/docPropsVTypes"/>
</file>