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Fiskālās disciplīnas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Fiskālās disciplīnas likumā (Latvijas Vēstnesis, 2013, 36., 187.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5. panta trešās daļas 3. punktā vārdus un skaitļus "Eiropas Parlamenta un Padomes 2011. gada 16. novembra regulā (ES) Nr. 1175/2011, ar ko groza Padomes regulu (EK) Nr. 1466/97 par budžeta stāvokļa uzraudzības un ekonomikas politikas uzraudzības un koordinācijas stiprināšanu" ar vārdiem un skaitļiem "Eiropas Parlamenta un Padomes 2024. gada 29. aprīļa regulā (ES) 2024/1263 par ekonomikas politikas efektīvu koordināciju un budžeta daudzpusēju uzraudzību un ar ko atceļ Padomes regulu (EK) Nr. 1466/97".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10. pantā skaitli "–0,5" ar skaitli "–1,0".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13. pantu šādā redakcijā: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jc w:val="both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</w:t>
      </w:r>
      <w:r w:rsidR="00000000" w:rsidRPr="00000000" w:rsidDel="00000000">
        <w:rPr>
          <w:b w:val="1"/>
          <w:rtl w:val="0"/>
        </w:rPr>
        <w:t xml:space="preserve">13. pants. Izdevumu pieauguma nosacījums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Ietvara likuma projekts izstrādājams, ievērojot izdevumu pieauguma nosacījumu, kas tiek piemērots neto izdevumu virzības noteikšanā un uzraudzībā saskaņā ar Eiropas Parlamenta un Padomes 2024. gada 29. aprīļa regulu (ES) 2024/1263 par ekonomikas politikas efektīvu koordināciju un budžeta daudzpusēju uzraudzību un ar ko atceļ Padomes regulu (EK) Nr. 1466/97."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2025. gada 1. 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24-TA-1898</w:t>
    </w:r>
    <w:r>
      <w:br/>
    </w:r>
    <w:r w:rsidR="00000000" w:rsidRPr="00000000" w:rsidDel="00000000">
      <w:rPr>
        <w:rtl w:val="0"/>
      </w:rPr>
      <w:t xml:space="preserve">Izdrukāts 29.07.2026. 21.59 - 1.0.VK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24-TA-1898</w:t>
    </w:r>
    <w:r>
      <w:br/>
    </w:r>
    <w:r w:rsidR="00000000" w:rsidRPr="00000000" w:rsidDel="00000000">
      <w:rPr>
        <w:rtl w:val="0"/>
      </w:rPr>
      <w:t xml:space="preserve">Izdrukāts 29.07.2026. 21.59 - 1.0.VK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likumprojekts_(grozījumi)_24-TA-1898.docx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