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Elektronisko sakaru komersantam pieprasīto noslodzes datu nodošanas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Elektronisko sakaru likuma</w:t>
      </w:r>
      <w:r w:rsidR="00000000" w:rsidRPr="00000000" w:rsidDel="00000000">
        <w:rPr>
          <w:rStyle w:val="paragraph"/>
          <w:i w:val="1"/>
          <w:rtl w:val="0"/>
        </w:rPr>
        <w:t xml:space="preserve"> 104. panta ceturto daļu, 105. panta sesto daļu, 106. panta ceturto daļu un 110.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Latvijas Banka, Datu valsts inspekcija, Patērētāju tiesību aizsardzības centrs un Valsts ieņēmumu dienests (turpmāk – institūcija) pieprasa un elektronisko sakaru komersants nodod noslodzes datus.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 noslodzes datus pieprasa šādā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noslodzes datu pieprasīšanas nepieciešamību un pieprasīto datu samērīgumu;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pieprasījumu un nodrošina tiesneša lēmumu, ja to pieprasa normatīvie akti;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iestādes vadītājs vai persona, kas pilda iestādes vadītāja pienākumus (pieprasījumam pievienojot attiecīgu dokumentu, kas apliecina personas tiesības pārstāvēt iestādi), paraksta noslodzes datu pieprasījumu.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Elektronisko sakaru komersants noslodzes datus nodod šādā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 pieprasījumu, identificējot darbinieku, kurš pieprasījumā minētos noslodzes datus sagatavo izsniegšanai;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izsniegtos noslodzes datus (atbildes uz pieprasījumiem), norādot darbinieku, kurš izsniedzis attiecīgos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nodod noslodzes datus pieprasījumā norādītajā apjomā un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Banka un Datu valsts inspekcija par katru privātpersonu, pieslēguma numuru vai interneta protokola (IP) adresi sagatavo atsevišķu pieprasījumu.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Banka un Datu valsts inspekcija nepieciešamos noslodzes datus pieprasa, nosūtot elektronisko sakaru komersantam attiecīgu pieprasījumu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Pieprasījumā norāda noslodzes datu pieprasīšanas tiesisko pamatojumu, apjomu un atbildes sniegšanas veidu.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Patērētāju tiesību aizsardzības centrs un Valsts ieņēmumu dienests nepieciešamos noslodzes datus pieprasa, nosūtot elektronisko sakaru komersantam pieprasījumu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Pieprasījumā norāda noslodzes datu pieprasīšanas tiesisko pamatojumu, apjomu un atbildes sniegšanas veidu.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Pieprasījumu var nosūtīt arī elektroniski, ja institūcija ar elektronisko sakaru komersantu ir noslēgusi līgumu par noslodzes datu apmaiņu elektroniski. Līgumā paredz prasības attiecībā uz informācijas šifrēšanu, personu identifikāciju un noslodzes datu drošību, kā arī informācijas sniegšanas nosacījumus un citas pušu saistības.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Elektronisko sakaru komersants nodrošina noslodzes datu nodošanu institūcijai 15 dienu laikā no pieprasījuma saņemšanas dienas.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25-TA-3097</w:t>
    </w:r>
    <w:r>
      <w:br/>
    </w:r>
    <w:r w:rsidR="00000000" w:rsidRPr="00000000" w:rsidDel="00000000">
      <w:rPr>
        <w:rtl w:val="0"/>
      </w:rPr>
      <w:t xml:space="preserve">Izdrukāts 29.07.2026. 22.55 - 1.0.VK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25-TA-3097</w:t>
    </w:r>
    <w:r>
      <w:br/>
    </w:r>
    <w:r w:rsidR="00000000" w:rsidRPr="00000000" w:rsidDel="00000000">
      <w:rPr>
        <w:rtl w:val="0"/>
      </w:rPr>
      <w:t xml:space="preserve">Izdrukāts 29.07.2026. 22.55 - 1.0.VK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noteikumu_konsolidētā_versija_25-TA-3097.docx</dc:title>
</cp:coreProperties>
</file>

<file path=docProps/custom.xml><?xml version="1.0" encoding="utf-8"?>
<Properties xmlns="http://schemas.openxmlformats.org/officeDocument/2006/custom-properties" xmlns:vt="http://schemas.openxmlformats.org/officeDocument/2006/docPropsVTypes"/>
</file>