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interaktīvo azartspēļu un interaktīvo izložu organizētājs iesniedz paziņojumu par pārskata ceturksni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Azartspēļu un izložu likuma</w:t>
      </w:r>
      <w:r>
        <w:br/>
      </w:r>
      <w:r w:rsidR="00000000" w:rsidRPr="00000000" w:rsidDel="00000000">
        <w:rPr>
          <w:rStyle w:val="paragraph"/>
          <w:i w:val="1"/>
          <w:rtl w:val="0"/>
        </w:rPr>
        <w:t xml:space="preserve">53. panta sesto daļu un 80. panta astoto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interaktīvo azartspēļu organizētājs un totalizatora vai derību organizētājs, kas pieņem likmes ar elektronisko sakaru pakalpojumu starpniecību, un interaktīvo izložu organizētājs (turpmāk arī – licences saņēmējs) iesniedz Valsts ieņēmumu dienestā paziņojumu par pārskata ceturksnī iemaksāto likmju kopsummu un izmaksāto laimestu kopsummu un paziņojumu par pārskata ceturksnī pārdotajām biļetēm un izmaksāto laimestu kopsummu, kā arī kredītiestādes izziņu par darījumiem, kas pārskata ceturksnī veikti savstarpējos norēķinos ar spēlētājiem izmantotajā kontā.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saņēmējs paziņojumā par iemaksāto interaktīvo azartspēļu likmju kopsummu un izmaksāto laimestu kopsummu pārskata ceturksnī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norāda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saņēmēja firma, reģistrācijas numurs komercreģistrā, juridiskā adrese, azartspēļu organizēšanas licences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iemaksāto likmju summa (</w:t>
      </w:r>
      <w:r w:rsidR="00000000" w:rsidRPr="00000000" w:rsidDel="00000000">
        <w:rPr>
          <w:i w:val="1"/>
          <w:rtl w:val="0"/>
        </w:rPr>
        <w:t xml:space="preserve">euro</w:t>
      </w:r>
      <w:r w:rsidR="00000000" w:rsidRPr="00000000" w:rsidDel="00000000">
        <w:rPr>
          <w:rtl w:val="0"/>
        </w:rPr>
        <w:t xml:space="preserve">) un izmaksāto laimestu summa (</w:t>
      </w:r>
      <w:r w:rsidR="00000000" w:rsidRPr="00000000" w:rsidDel="00000000">
        <w:rPr>
          <w:i w:val="1"/>
          <w:rtl w:val="0"/>
        </w:rPr>
        <w:t xml:space="preserve">euro</w:t>
      </w:r>
      <w:r w:rsidR="00000000" w:rsidRPr="00000000" w:rsidDel="00000000">
        <w:rPr>
          <w:rtl w:val="0"/>
        </w:rPr>
        <w:t xml:space="preserve">) par pārskata ceturkšņa attiecīgajā mēnesī un pārskata ceturksnī spēlētajām interaktīvajām azartspēlēm: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spēļu automātu spēlēm, ruletēm (cilindriskajām spēlēm), kāršu spēlēm (izņemot kāršu spēles starp spēlētājiem), kauliņu spēlēm, bingo;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totalizatoru un derībām;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kāršu spēlēm starp spēlētājiem;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veiksmes spēlēm pa tālruni;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ceturkšņa attiecīgajā mēnesī un pārskata ceturksnī iemaksāto likmju kopsumma (</w:t>
      </w:r>
      <w:r w:rsidR="00000000" w:rsidRPr="00000000" w:rsidDel="00000000">
        <w:rPr>
          <w:i w:val="1"/>
          <w:rtl w:val="0"/>
        </w:rPr>
        <w:t xml:space="preserve">euro</w:t>
      </w:r>
      <w:r w:rsidR="00000000" w:rsidRPr="00000000" w:rsidDel="00000000">
        <w:rPr>
          <w:rtl w:val="0"/>
        </w:rPr>
        <w:t xml:space="preserve">) un izmaksāto laimestu kopsumma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Licences saņēmējs paziņojumā par interaktīvo izložu biļešu realizācijas ieņēmumiem un izmaksāto laimestu kopsummu pārskata ceturksnī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norāda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saņēmēja firma, reģistrācijas numurs komercreģistrā, juridiskā adrese, interaktīvo izložu organizēšanas licences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katrā pārskata ceturkšņa mēnesī spēlēto interaktīvo izložu veids (nosaukums);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interaktīvo izložu biļešu realizācijas ieņēmumi (</w:t>
      </w:r>
      <w:r w:rsidR="00000000" w:rsidRPr="00000000" w:rsidDel="00000000">
        <w:rPr>
          <w:i w:val="1"/>
          <w:rtl w:val="0"/>
        </w:rPr>
        <w:t xml:space="preserve">euro</w:t>
      </w:r>
      <w:r w:rsidR="00000000" w:rsidRPr="00000000" w:rsidDel="00000000">
        <w:rPr>
          <w:rtl w:val="0"/>
        </w:rPr>
        <w:t xml:space="preserve">) par katru interaktīvo izložu veidu pārskata ceturkšņa attiecīgajā mēnesī un realizācijas ieņēmumu kopsumma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interaktīvo izložu izmaksāto laimestu summa (</w:t>
      </w:r>
      <w:r w:rsidR="00000000" w:rsidRPr="00000000" w:rsidDel="00000000">
        <w:rPr>
          <w:i w:val="1"/>
          <w:rtl w:val="0"/>
        </w:rPr>
        <w:t xml:space="preserve">euro</w:t>
      </w:r>
      <w:r w:rsidR="00000000" w:rsidRPr="00000000" w:rsidDel="00000000">
        <w:rPr>
          <w:rtl w:val="0"/>
        </w:rPr>
        <w:t xml:space="preserve">) par katru interaktīvo izložu veidu pārskata ceturkšņa attiecīgajā mēnesī un interaktīvo izložu izmaksāto laimestu kopsumma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interaktīvo izložu biļešu realizācijas ieņēmumu kopsumma (</w:t>
      </w:r>
      <w:r w:rsidR="00000000" w:rsidRPr="00000000" w:rsidDel="00000000">
        <w:rPr>
          <w:i w:val="1"/>
          <w:rtl w:val="0"/>
        </w:rPr>
        <w:t xml:space="preserve">euro</w:t>
      </w:r>
      <w:r w:rsidR="00000000" w:rsidRPr="00000000" w:rsidDel="00000000">
        <w:rPr>
          <w:rtl w:val="0"/>
        </w:rPr>
        <w:t xml:space="preserve">) pārskata ceturksnī;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pārskata ceturksnī izmaksāto interaktīvo izložu laimestu kopsumma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punktā minēto paziņojumu paraksta licences saņēmēja atbildīgā persona (persona, kurai ir tiesības pārstāvēt licences saņēmēju). Licences saņēmējs minētos paziņojumus elektroniski iesniedz Valsts ieņēmumu dienesta elektroniskās deklarēšanas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Kredītiestādes izziņu par darījumiem, kas pārskata ceturksnī veikti savstarpējos norēķinos ar spēlētājiem izmantotajā kontā, interaktīvo azartspēļu organizētājs un totalizatora vai derību organizētājs, kas pieņem likmes ar elektronisko sakaru pakalpojumu starpniecību, elektroniski iesniedz Valsts ieņēmumu dienesta elektroniskās deklarēšanas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Atzīt par spēku zaudējušiem Ministru kabineta 2007. gada 13. februāra noteikumus Nr. 105 "Kārtība, kādā interaktīvo azartspēļu un izložu organizētājs iesniedz paziņojumu par pārskata ceturksni" (Latvijas Vēstnesis, 2007, 28. nr.; 2013, 183. nr.; 2015, 73.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Noteikumi piemērojami ar pārskata ceturksni, kas sākas 2017.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25-TA-3044</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25-TA-3044</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noteikumu_konsolidētā_versija_25-TA-3044.docx</dc:title>
</cp:coreProperties>
</file>

<file path=docProps/custom.xml><?xml version="1.0" encoding="utf-8"?>
<Properties xmlns="http://schemas.openxmlformats.org/officeDocument/2006/custom-properties" xmlns:vt="http://schemas.openxmlformats.org/officeDocument/2006/docPropsVTypes"/>
</file>