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Mēslošanas līdzekļu un augu augšanas substrātu kontroles paraugu ņemšanas un sagatavošanas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Mēslošanas līdzekļu aprites likuma</w:t>
      </w:r>
      <w:r>
        <w:br/>
      </w:r>
      <w:r w:rsidR="00000000" w:rsidRPr="00000000" w:rsidDel="00000000">
        <w:rPr>
          <w:rStyle w:val="paragraph"/>
          <w:i w:val="1"/>
          <w:rtl w:val="0"/>
        </w:rPr>
        <w:t xml:space="preserve">4.panta pirmās daļas 2.punktu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prasības attiecībā uz mēslošanas līdzekļu un augu augšanas substrātu (turpmāk – substrāts) kontroles paraugu ņemšanu, kā arī kārtību, kādā Valsts augu aizsardzības dienests (turpmāk – dienests) ņem un sagatavo mēslošanas līdzekļu un substrātu kontroles paraugus to kvalitātes atbilstības pārbaudei.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parauga partija – iespējami viendabīgs mēslošanas līdzekļa vai substrāta kopējais daudzums, no kura ņem kontroles paraugus;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sākotnējais paraugs – mēslošanas līdzekļa vai substrāta daudzums, ko ņem vienā vietā. Sākotnējos paraugus ņem izlases veidā no visas parauga partijas, un tie ir aptuveni vienāda lieluma;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apvienotais paraugs (kopparaugs) – parauga partijas sākotnējo paraugu apvienojums;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gala paraugs – apvienotā parauga (kopparauga) reprezentatīvā daļa. Gala paraugu iegūst, rūpīgi samaisot apvienoto paraugu (kopparaugu) un, ja nepieciešams, samazinot apvienotā parauga sākotnējo masu.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Paraugu ņemšanas ierīces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Paraugu ņemšanas ierīce ir izgatavota no materiāla, kas neietekmē testēšanai ņemtā parauga kvalitatīvās īpašības un ko iespējams sterilizēt tādu paraugu ņemšanai, kuriem nepieciešama mikrobioloģiska testēšana.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Kaļķošanas materiālu, cietu mēslošanas līdzekļu un substrātu paraugu ņemšanai izmanto šādas ierīces: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manuālai parauga ņemšanai – plakanu liekšķeri ar stāvām malām vai paraugu ņemšanas zondi ar garu šķēlumu vai nodalījumiem. Zondes un šķēluma izmērs atbilst pārbaudāmā mēslošanas līdzekļa un substrāta granulometriskajam sastāvam un iepakojuma izmēram;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mehāniskai parauga ņemšanai no mēslošanas līdzekļu un substrātu plūsmas izmanto mehāniskās ierīces;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parauga sadalīšanai vienādās daļās un gala parauga sagatavošanai izmanto speciālu parauga dalīšanas ierīci.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Šķidru mēslošanas līdzekļu paraugu ņemšanai izmanto šādas ierīces: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manuālai parauga ņemšanai – pipeti, kausu, pudeli, mērglāzi vai citu ierīci;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mehāniskai parauga ņemšanai no šķidro mēslošanas līdzekļu plūsmas izmanto mehāniskas ierīces.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Parauga kvantitātes prasības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Sākotnējo paraugu minimālo skaitu nosaka, ņemot vērā mēslošanas līdzekļa un substrāta veidu, parauga partijas lielumu un iepakojuma masu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 sākotnējiem paraugiem veido apvienoto paraugu (kopparaugu), ņemot vērā apvienotā parauga minimālo masu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 apvienotā parauga (kopparauga) veido gala paraugu, ņemot vērā gala parauga minimālo masu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un, ja nepieciešams, samazinot apvienoto paraugu.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Paraugu ņemšana un sagatavošana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Paraugu ņem un sagatavo iespējami ātri, ievērojot nepieciešamo piesardzību, lai nodrošinātu parauga atbilstību mēslošanas līdzekļa un substrāta sastāvam. Parauga ņemšanas laikā novērš mēslošanas līdzekļa un substrāta piesārņošanas iespēju.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Paraugu ņemšanas ierīces, virsmas un paraugiem paredzētie trauki ir tīri un sausi.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Šķidro mēslošanas līdzekli pirms parauga ņemšanas samaisa visā tā tilpumā. Ja tas nav iespējams, paraugu ņem parauga partijas iekraušanas vai izkraušanas laikā.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Paraugu ņemšanas ierīces, ar kurām ņem paraugus mikrobioloģiskajām analīzēm, ir sterilas (piemēram, apstrādātas ar 70–80 procentu spirta šķīdumu, ja tās ir no plastmasas, stikla vai metāla, vai apstrādātas ar liesmu vai vārot, ja tās ir no metāla).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Ņemot sākotnējo paraugu no neiepakotiem mēslošanas līdzekļiem un substrātiem vai iepakotiem mēslošanas līdzekļiem un substrātiem, kuru iepakojums ir lielāks par 100 kilogramiem, parauga partiju vizuāli sadala apmēram vienādās daļās, kuru skaits atbilst sākotnējo paraugu skaitam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un izlases veidā no katras šādas daļas ņem vismaz vienu sākotnējo paraugu. Ja, ņemot paraugus, nav iespējams paņemt paraugu no visām parauga partijas daļām, paraugu ņem parauga partijas iekraušanas vai izkraušanas laikā. Šādā gadījumā paraugus ņem izlases veidā no izvēlētām daļām, kas noteiktas iepriekš, kad paraugs ir kustībā.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gala parauga ieguvei nepieciešams samazināt apvienoto paraugu (kopparaugu), tā masu samazina ar mehānisko dalītāju vai pēc kvartēšanas (diagonāļu) metodes līdz šo noteikumu </w:t>
      </w:r>
      <w:r w:rsidR="00000000" w:rsidRPr="00000000" w:rsidDel="00000000">
        <w:rPr>
          <w:rtl w:val="0"/>
        </w:rPr>
        <w:t xml:space="preserve">3.</w:t>
      </w:r>
      <w:r w:rsidR="00000000" w:rsidRPr="00000000" w:rsidDel="00000000">
        <w:rPr>
          <w:rtl w:val="0"/>
        </w:rPr>
        <w:t xml:space="preserve"> pielikumā noteiktajai masai. No apvienotā parauga (kopparauga) sagatavo trīs gala paraugus.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Gala paraugu ievieto tīrā, sausā, mitrumnecaurlaidīgā hermētiski noslēdzamā iepakojumā, kurā paraugu iespējams saglabāt tā sākotnējā stāvoklī. Gala paraugus, kas paredzēti: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amonija nitrāta detonācijnoturības testa pārbaudei, uzglabā 0–25 °C temperatūrā;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mikrobioloģiskajām analīzēm, uzglabā 5 °C (± 3 °C) temperatūrā.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Gala paraugus sver, marķē un apzīmogo (plombē) tā, lai tos nevarētu atvērt, nesabojājot zīmogu (plombu).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Par katru mēslošanas līdzekļa vai substrāta parauga ņemšanu dienests sagatavo parauga ņemšanas aktu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 </w:t>
      </w:r>
      <w:r w:rsidR="00000000" w:rsidRPr="00000000" w:rsidDel="00000000">
        <w:rPr>
          <w:rtl w:val="0"/>
        </w:rPr>
        <w:t xml:space="preserve">punktā</w:t>
      </w:r>
      <w:r w:rsidR="00000000" w:rsidRPr="00000000" w:rsidDel="00000000">
        <w:rPr>
          <w:rtl w:val="0"/>
        </w:rPr>
        <w:t xml:space="preserve"> minēto aktu sagatavo divos eksemplāros. Viens eksemplārs paliek dienestā, otru izsniedz personai, pie kuras ņemts mēslošanas līdzekļa vai substrāta kontroles paraugs.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Ar gala paraugiem veicamās darbības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Dienests ar gala paraugiem rīkojas šādi: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minerālmēslu, organisko un organominerālo mēslošanas līdzekļu, kaļķošanas materiālu, augu augšanas veicinātāju un substrātu, kā arī mikrobioloģisko preparātu nevēlamo piemaisījumu analīzēm: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gala paraugu triju dienu laikā pēc paraugu ņemšanas nosūta uz akreditētu laboratoriju testēšanai (analīzēm);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otru gala paraugu glabā līdz testēšanas (analīžu) rezultātu saņemšanai;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trešo gala paraugu kopā ar parauga ņemšanas aktu atstāj personai, pie kuras ņemts mēslošanas līdzekļa vai substrāta kontroles paraugs;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mikrobioloģisko preparātu dzīvotspējīgo mikroorganismu skaita noteikšanai: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gala paraugu triju dienu laikā pēc paraugu ņemšanas nosūta zinātniskajai institūcijai, kas atbilstoši Zinātniskās darbības likumam ir reģistrēta Zinātnisko institūciju reģistrā, vai citas Eiropas Savienības dalībvalsts oficiāli reģistrētajai zinātniskajai institūcijai (turpmāk – zinātniskā institūcija), vai akreditētajai laboratorijai;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otru gala paraugu glabā līdz testēšanas (analīžu) rezultātu saņemšanai;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trešo gala paraugu kopā ar parauga ņemšanas aktu atstāj personai, pie kuras ņemts mikrobioloģiskā preparāta kontroles paraugs.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testēšanas rezultāti apliecina mēslošanas līdzekļa vai substrāta kvalitātes atbilstību identifikācijas prasībām un pieļaujamām novirzēm no deklarētās kvalitātes un gala paraugā nav pārsniegta nevēlamo piemaisījumu maksimāli pieļaujamā koncentrācija saskaņā ar normatīvajiem aktiem par mēslošanas līdzekļu un substrātu identifikācijas un kvalitātes atbilstības novērtēšanas prasībām, kā arī ja ES mēslošanas līdzekļa ar CE zīmi kvalitāte atbilst Eiropas Parlamenta un Padomes  2019. gada 5. jūnija Regulas (ES) 2019/1009, ar ko nosaka noteikumus par to, kā tirgū dara pieejamus ES mēslošanas līdzekļus, un ar ko groza Regulas (EK) Nr. 1069/2009 un (EK) Nr. 1107/2009 un atceļ Regulu (EK) Nr. 2003/2003,  I pielikumā un III pielikuma II un III daļā minētajām prasībām, dienests noraksta otro gala paraugu.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testējot (analizējot) tiek konstatēta mēslošanas līdzekļa vai substrāta kvalitātes neatbilstība identifikācijas un kvalitātes atbilstības novērtēšanas prasībām, dienests otro gala paraugu nosūta akreditētajai laboratorijai vai – mikrobioloģiska preparāta paraugu dzīvotspējīgo mikroorganismu skaita noteikšanai – zinātniskajai institūcijai vai akreditētajai laboratorijai, lai veiktu atkārtotu testēšanu.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prasības attiecībā uz substrātiem piemēro ar 2015. gada 1. jūliju.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22-TA-272</w:t>
    </w:r>
    <w:r>
      <w:br/>
    </w:r>
    <w:r w:rsidR="00000000" w:rsidRPr="00000000" w:rsidDel="00000000">
      <w:rPr>
        <w:rtl w:val="0"/>
      </w:rPr>
      <w:t xml:space="preserve">Izdrukāts 29.07.2026. 22.06 - 1.0.VK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22-TA-272</w:t>
    </w:r>
    <w:r>
      <w:br/>
    </w:r>
    <w:r w:rsidR="00000000" w:rsidRPr="00000000" w:rsidDel="00000000">
      <w:rPr>
        <w:rtl w:val="0"/>
      </w:rPr>
      <w:t xml:space="preserve">Izdrukāts 29.07.2026. 22.06 - 1.0.VK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noteikumu_konsolidētā_versija_22-TA-272.docx</dc:title>
</cp:coreProperties>
</file>

<file path=docProps/custom.xml><?xml version="1.0" encoding="utf-8"?>
<Properties xmlns="http://schemas.openxmlformats.org/officeDocument/2006/custom-properties" xmlns:vt="http://schemas.openxmlformats.org/officeDocument/2006/docPropsVTypes"/>
</file>