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28.oktobra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Sākotnējo paraugu minimālais skaits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4251"/>
        <w:gridCol w:w="4155"/>
        <w:tblGridChange w:id="0">
          <w:tblGrid>
            <w:gridCol w:w="993"/>
            <w:gridCol w:w="4251"/>
            <w:gridCol w:w="41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partijas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Sākotnējo paraugu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Neiepakoti (vai iepakojumā, kas lielāks par 100 kg) minerālmēsli, kaļķošanas materiāli un augu augšanas veicinātāji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2,5 tonnām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2,5 līdz 80 tonnām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nākamais veselais skaitlis, kas ir lielāks par kvadrātsakni no partijas masas tonnās, kura reizināta ar 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80 tonnām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Iepakoti minerālmēsli, kaļķošanas materiāli un augu augšanas veicinātāji, kuru iepakojums nepārsniedz 100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iepakojumi, kas lielāki par 1 kg: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 iepakojumiem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visiem iepakojumiem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 līdz 16 iepakojumiem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 līdz 400 iepakojumiem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nākamais veselais skaitlis, kas ir lielāks par kvadrātsakni no iepakojumu skaita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400 iepakojumiem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vai mazāki iepakojumi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Neiepakoti organiskie un organominerālie mēslošanas līdzekļi un substrāti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par 500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500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nākamais veselais skaitlis, kas ir lielāks par kvadrātsakni no partijas apjoma kubikmetros, kura dalīta ar divi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Iepakoti organiskie un organominerālie mēslošanas līdzekļi un substrāti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iepakojumi, kas lielāki par 5 litriem: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 iepakojumiem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visiem iepakojumiem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 līdz 16 iepakojumiem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 līdz 400 iepakojumiem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nākamais veselais skaitlis, kas ir lielāks par kvadrātsakni no partijas iepakojumu skaita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400 iepakojumiem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litru vai mazāki iepakojumi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tikai ķīmiskajām analīzēm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ķīmiskajām un mikrobioloģiskajām analīzēm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Mikrobioloģiskie preparāti iepakojumā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 mazāks par 0,2 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0,2 līdz 0,5 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0,51 līdz 1 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 lielāks par 1 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*</w:t>
      </w:r>
      <w:r w:rsidR="00000000" w:rsidRPr="00000000" w:rsidDel="00000000">
        <w:rPr>
          <w:rtl w:val="0"/>
        </w:rPr>
        <w:t xml:space="preserve"> Oriģinālo iepakojumu skaits.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