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575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(turpmāk – pasākums) otro projektu iesniegumu atlases kārtu (turpmāk –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otrās kārtas mērķis ir nodrošināt profesionālās izglītības iestāžu un nozaru sadarbību prasmju meistarības attīstībai profesionālajā izglītībā, prasmju meistarības nacionālo konkursu norisi un dalību starptautiskajos konkursos, veicinot talantu attīstības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otrās kārtas mērķa grupa ir profesionālās izglītības iestādes, to izglītojamie, absolventi – jaunie profesionāļi vecumā līdz 25 gadiem un pedagogi.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otrās kārtas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 tai skaitā līdz 2024. gada 31. decembrim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ieviesušas uzlabojumus izglītības un mācību sistēmu kvalitātei, efektivitātei un atbilstībai darba tirgum,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Nacionālie rādītāji, kas jāsasniedz līdz 2027. gada 31. decembrim, ir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jauno profesionāļu meistarības konkursu </w:t>
      </w:r>
      <w:r w:rsidR="00000000" w:rsidRPr="00000000" w:rsidDel="00000000">
        <w:rPr>
          <w:i w:val="1"/>
          <w:rtl w:val="0"/>
        </w:rPr>
        <w:t xml:space="preserve">SkillsLatvia</w:t>
      </w:r>
      <w:r w:rsidR="00000000" w:rsidRPr="00000000" w:rsidDel="00000000">
        <w:rPr>
          <w:rtl w:val="0"/>
        </w:rPr>
        <w:t xml:space="preserve"> skaits, kuru norise nodrošināta projektā,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jauno profesionāļu meistarības konkursu </w:t>
      </w:r>
      <w:r w:rsidR="00000000" w:rsidRPr="00000000" w:rsidDel="00000000">
        <w:rPr>
          <w:i w:val="1"/>
          <w:rtl w:val="0"/>
        </w:rPr>
        <w:t xml:space="preserve">EuroSkills</w:t>
      </w:r>
      <w:r w:rsidR="00000000" w:rsidRPr="00000000" w:rsidDel="00000000">
        <w:rPr>
          <w:rtl w:val="0"/>
        </w:rPr>
        <w:t xml:space="preserve"> un </w:t>
      </w:r>
      <w:r w:rsidR="00000000" w:rsidRPr="00000000" w:rsidDel="00000000">
        <w:rPr>
          <w:i w:val="1"/>
          <w:rtl w:val="0"/>
        </w:rPr>
        <w:t xml:space="preserve">WorldSkills</w:t>
      </w:r>
      <w:r w:rsidR="00000000" w:rsidRPr="00000000" w:rsidDel="00000000">
        <w:rPr>
          <w:rtl w:val="0"/>
        </w:rPr>
        <w:t xml:space="preserve"> skaits, kuros nodrošināta dalība no projekta, – 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starptautiskajos jauno profesionāļu meistarības konkursos piedalījušos konkursantu skaits – vismaz 35.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otrajai kārtai plānotais un pieejamais kopējais attiecināmais finansējums ir 3 850 000 </w:t>
      </w:r>
      <w:r w:rsidR="00000000" w:rsidRPr="00000000" w:rsidDel="00000000">
        <w:rPr>
          <w:i w:val="1"/>
          <w:rtl w:val="0"/>
        </w:rPr>
        <w:t xml:space="preserve">euro</w:t>
      </w:r>
      <w:r w:rsidR="00000000" w:rsidRPr="00000000" w:rsidDel="00000000">
        <w:rPr>
          <w:rtl w:val="0"/>
        </w:rPr>
        <w:t xml:space="preserve">, ko veido Eiropas Sociālā fonda Plus finansējums – 3 272 500 </w:t>
      </w:r>
      <w:r w:rsidR="00000000" w:rsidRPr="00000000" w:rsidDel="00000000">
        <w:rPr>
          <w:i w:val="1"/>
          <w:rtl w:val="0"/>
        </w:rPr>
        <w:t xml:space="preserve">euro</w:t>
      </w:r>
      <w:r w:rsidR="00000000" w:rsidRPr="00000000" w:rsidDel="00000000">
        <w:rPr>
          <w:rtl w:val="0"/>
        </w:rPr>
        <w:t xml:space="preserve"> un valsts budžeta līdzfinansējums – 577 500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Sociālā fonda Plus finansējuma intensitāte nav lielāka par 85 procentiem no projekta attiecināmo izmaksu kopsummas.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otro kārtu īsteno ierobežotas projektu iesniegumu atlases veidā. Pasākuma otrās kārtas ietvaros piemērojamais atbalsta veids ir grants.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otrās kārtas ietvaros atbildīgās iestādes funkcijas pilda Izglītības un zinātnes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otrās kārtas ietvaros ir tiešās pārvaldes iestāde – Valsts izglītības attīstības aģentūra –, kas pēc tam, kad ir apstiprināts projekta iesniegums, ir finansējuma saņēmēja.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projekta iesniegumā iekļauj informāciju par projekta iekšējo vadības un kontroles sistēmu, lai nodrošinātu sekmīgu projekta īstenošanu, mērķu sasniegšanu un projektam piešķirto līdzekļu lietderīgu un efektīvu izlietošanu, tai skaitā paredzot to funkciju nodalīšanu, kuras finansējuma saņēmējs pilda projekta īstenošanā, no iestādes pamatfunkciju izpildes, kā arī aprakstot, kādas darbības un uzraudzības instrumenti ir plānoti vai ieviesti projekta iesniedzēja iestādē šādos procesos: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līdzekļu plūsmas plānošana un kontrole un finanšu pārskatu ticamības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organizēšana;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maksājumu pieprasījumu un projekta grozījumu sagatavošana un iesniegšana, tai skaitā datu pilnīguma un atbilstības pārbaude;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dokumentu un pārskatu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saturiskās vadības un uzraudzības procesu pārskatāmība.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uzaicinājumā noteiktajā termiņā iesniedz to sadarbības iestādē, izmantojot Kohēzijas politikas fondu vadības informācijas sistēmas elektronisko vidi.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nacionālo jauno profesionāļu meistarības konkursu </w:t>
      </w:r>
      <w:r w:rsidR="00000000" w:rsidRPr="00000000" w:rsidDel="00000000">
        <w:rPr>
          <w:i w:val="1"/>
          <w:rtl w:val="0"/>
        </w:rPr>
        <w:t xml:space="preserve">SkillsLatvia</w:t>
      </w:r>
      <w:r w:rsidR="00000000" w:rsidRPr="00000000" w:rsidDel="00000000">
        <w:rPr>
          <w:rtl w:val="0"/>
        </w:rPr>
        <w:t xml:space="preserve"> organizēšana,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profesionālo prasmju demonstrāciju un izmēģinājuma pasākumu organizēšana profesionālās izglītības pievilcības celšanai;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integrētās komunikācijas kampaņu organizēšana un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konkursantu sagatavošana un Latvijas nacionālās delegācijas dalības nodrošināšana starptautiskajos jauno profesionāļu meistarības konkursos </w:t>
      </w:r>
      <w:r w:rsidR="00000000" w:rsidRPr="00000000" w:rsidDel="00000000">
        <w:rPr>
          <w:i w:val="1"/>
          <w:rtl w:val="0"/>
        </w:rPr>
        <w:t xml:space="preserve">EuroSkills</w:t>
      </w:r>
      <w:r w:rsidR="00000000" w:rsidRPr="00000000" w:rsidDel="00000000">
        <w:rPr>
          <w:rtl w:val="0"/>
        </w:rPr>
        <w:t xml:space="preserve"> un </w:t>
      </w:r>
      <w:r w:rsidR="00000000" w:rsidRPr="00000000" w:rsidDel="00000000">
        <w:rPr>
          <w:i w:val="1"/>
          <w:rtl w:val="0"/>
        </w:rPr>
        <w:t xml:space="preserve">WorldSkills</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profesionālās izglītības iestādēm un to pedagogiem darbā ar talantīgajiem audzēkņiem profesionālo prasmju apguvē un pilnveidē: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informatīvie un mācību pasākumi profesionālās izglītības iestādēm un to pedagogiem par starptautiskajiem prasmju standartiem, prasmju novērtēšanu un to piemērošanu profesionālajā izglītībā;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meistarības konkursu un talantu attīstības īstenošanas modeļa izstrāde profesionālajā izglītībā atbilstoši šo noteikumu </w:t>
      </w:r>
      <w:r w:rsidR="00000000" w:rsidRPr="00000000" w:rsidDel="00000000">
        <w:rPr>
          <w:rtl w:val="0"/>
        </w:rPr>
        <w:t xml:space="preserve">25.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apmaiņa un sadarbības pasākumi ar Valsts izglītības satura centru, nozaru ekspertu padomēm un nozaru organizācijām par starptautisko prasmju standartu prasību pārnesi uz profesionālās izglītības satura izstrādi, īstenošanu un novērtēšanu un izcilības attīstību profesionālo prasmju apguvē;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otrās kārtas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projekta īstenošanas personāla un vadības personāla atlīdzības izmaksas (izņemot virsstundas)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dienesta braucienu izmaksas finansējuma saņēmēja projekta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īstenošanai un iesaistītājiem ekspertiem un konkursantiem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īstenošanai attiecināmas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finansējuma saņēmēja projekta īstenošanas personālam (tai skaitā Latvijas oficiālajam delegātam un tehniskajam delegātam starptautiskajās dalībvalstu asociācijās </w:t>
      </w:r>
      <w:r w:rsidR="00000000" w:rsidRPr="00000000" w:rsidDel="00000000">
        <w:rPr>
          <w:i w:val="1"/>
          <w:rtl w:val="0"/>
        </w:rPr>
        <w:t xml:space="preserve">Worldskills Europe</w:t>
      </w:r>
      <w:r w:rsidR="00000000" w:rsidRPr="00000000" w:rsidDel="00000000">
        <w:rPr>
          <w:rtl w:val="0"/>
        </w:rPr>
        <w:t xml:space="preserve"> un </w:t>
      </w:r>
      <w:r w:rsidR="00000000" w:rsidRPr="00000000" w:rsidDel="00000000">
        <w:rPr>
          <w:i w:val="1"/>
          <w:rtl w:val="0"/>
        </w:rPr>
        <w:t xml:space="preserve">Worldskills International</w:t>
      </w:r>
      <w:r w:rsidR="00000000" w:rsidRPr="00000000" w:rsidDel="00000000">
        <w:rPr>
          <w:rtl w:val="0"/>
        </w:rPr>
        <w:t xml:space="preserve">), iesaistītajiem ekspertiem un konkursantiem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īstenošanai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 (maksa par degvielu, transporta pakalpojumu pirkšana, maksa par sabiedriskā transporta izmantošanu) finansējuma saņēmēja projekta īstenošanas un vadības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shd w:fill="#ffffff" w:val="clea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noma finansējuma saņēmēja projekta īstenošanas un vadības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13.3.</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ikgadējie dalībvalsts maksājumi starptautiskajām dalībvalstu asociācijām </w:t>
      </w:r>
      <w:r w:rsidR="00000000" w:rsidRPr="00000000" w:rsidDel="00000000">
        <w:rPr>
          <w:i w:val="1"/>
          <w:rtl w:val="0"/>
        </w:rPr>
        <w:t xml:space="preserve">Worldskills Europe</w:t>
      </w:r>
      <w:r w:rsidR="00000000" w:rsidRPr="00000000" w:rsidDel="00000000">
        <w:rPr>
          <w:rtl w:val="0"/>
        </w:rPr>
        <w:t xml:space="preserve"> un </w:t>
      </w:r>
      <w:r w:rsidR="00000000" w:rsidRPr="00000000" w:rsidDel="00000000">
        <w:rPr>
          <w:i w:val="1"/>
          <w:rtl w:val="0"/>
        </w:rPr>
        <w:t xml:space="preserve">Worldskills International</w:t>
      </w:r>
      <w:r w:rsidR="00000000" w:rsidRPr="00000000" w:rsidDel="00000000">
        <w:rPr>
          <w:rtl w:val="0"/>
        </w:rPr>
        <w:t xml:space="preserve">, dalības maksas starptautiskajos konkursos </w:t>
      </w:r>
      <w:r w:rsidR="00000000" w:rsidRPr="00000000" w:rsidDel="00000000">
        <w:rPr>
          <w:i w:val="1"/>
          <w:rtl w:val="0"/>
        </w:rPr>
        <w:t xml:space="preserve">EuroSkills, WorldSkills</w:t>
      </w:r>
      <w:r w:rsidR="00000000" w:rsidRPr="00000000" w:rsidDel="00000000">
        <w:rPr>
          <w:rtl w:val="0"/>
        </w:rPr>
        <w:t xml:space="preserve"> un citu valstu jauno profesionāļu meistarības konkursos, kā arī ar dalību šajās organizācijās saistīto pakalpojumu izmaksas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pakalpojumu, preču, piegāžu līgumu un īres izmaksas (ja iepirkumu veic atbilstoši iepirkuma procedūru reglamentējošajiem normatīvajiem aktiem, īstenojot atklātu, pārredzamu, nediskriminējošu un konkurenci nodrošinošu procedūru)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līgumu izmaksas projekta īstenošanā iesaistītajām juridiskajām un fiziskajām personām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(semināru, darba grupu un citu) organizēšanas un nodrošināšanas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iekārtu un aprīkojuma īres izmaksas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integrētās komunikācijas kampaņu organizēšanas un īstenošanas izmaksas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starptautisko konkursu Latvijas nacionālās delegācijas dalībnieku nodrošināšanas izmaksas (formu, specapģērbu iegādes, loģistikas un citas izmaksas)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materiālu un inventāra iegādes izmaksas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naktsmītnes, ēdināšanas un transporta pakalpojumu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 šo noteikumu </w:t>
      </w:r>
      <w:r w:rsidR="00000000" w:rsidRPr="00000000" w:rsidDel="00000000">
        <w:rPr>
          <w:rtl w:val="0"/>
        </w:rPr>
        <w:t xml:space="preserve">13.5. </w:t>
      </w:r>
      <w:r w:rsidR="00000000" w:rsidRPr="00000000" w:rsidDel="00000000">
        <w:rPr>
          <w:rtl w:val="0"/>
        </w:rPr>
        <w:t xml:space="preserve">apakšpunktā</w:t>
      </w:r>
      <w:r w:rsidR="00000000" w:rsidRPr="00000000" w:rsidDel="00000000">
        <w:rPr>
          <w:rtl w:val="0"/>
        </w:rPr>
        <w:t xml:space="preserve"> minētās atbalstāmās darbības īstenošanai saskaņā ar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minētajiem normatīvajiem aktiem;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jaunradītu darba vietu aprīkojuma,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finansējuma saņēmēja projekta vadības vai īstenošanas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veselības apdrošināšanas izmaksas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minētajam personālam. Ja veselības apdrošināšana paredzēta finansējuma saņēmēja iestādē un minētais personāls ir nodarbināts normālu darba laiku, veselības apdrošināšanas izmaksas ir attiecināmas 100 procentu apmērā. Ja projekta vadības un īstenošanas personāls ir nodarbināts nepilnu darba laiku vai daļlaiku, veselības apdrošināšanas izmaksas nosakāmas proporcionāli slodzes procentuālajam sadalījumam. Veselības apdrošināšanas izmaksas attiecināmas tikai uz periodu, kad minētais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speciālo medicīnisko optisko redzes korekcijas līdzekļu kompensācijas izmaksas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minētajam personālam. Ja speciālo medicīnisko optisko redzes korekcijas līdzekļu kompensācija paredzēta finansējuma saņēmēja iestādē un minētais personāls ir nodarbināts normālu darba laiku, speciālo medicīnisko optisko redzes korekcijas līdzekļu kompensācijas izmaksas ir attiecināmas 100 procentu apmērā. Ja projekta vadības un īstenošanas personāls ir nodarbināts nepilnu darba laiku vai daļlaiku, speciālo medicīnisko optisko redzes korekcijas līdzekļu kompensācijas izmaksas nosakāmas proporcionāli slodzes procentuālajam sadalījumam. Speciālo medicīnisko optisko redzes korekcijas līdzekļu kompensācijas izmaksas attiecināmas tikai uz periodu, kad minētais personāls ir nodarbināts projektā;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izmaksas, kas nepieciešamas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un kuru izlietošanu pirms izdevumu veikšanas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projekta īstenošanas laikā atbildīgā iestāde vai vadošā iestāde ir izstrādājusi vienkāršoto izmaksu metodiku kādām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projektā plāno kā vienu izmaksu pozīciju, piemērojot netiešo izmaksu vienoto likmi 15 procentu apmērā no 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minētajām tiešajām attiecināmajām personāla atlīdzības izmaksām, kas veiktas, pamatojoties uz darba līgumu vai rīkojumu par iecelšanu amatā.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15.2.6. </w:t>
      </w:r>
      <w:r w:rsidR="00000000" w:rsidRPr="00000000" w:rsidDel="00000000">
        <w:rPr>
          <w:rtl w:val="0"/>
        </w:rPr>
        <w:t xml:space="preserve">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nodoklis uzskatāms par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otrās kārtas ietvaros finansējuma saņēmējam izmaksas ir attiecināmas no 2023. gada 2. janvāra, ja tās atbilst šajos noteikumos minētajām izmaksu pozīcijām.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otrās kārtas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Finansējuma saņēmējs pasākuma otrās kārtas ietvaros īsteno projektu, kas nav saistīts ar saimnieciskās darbības veikšanu vai nav kvalificējams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uzraudzību veic Profesionālās izglītības un nodarbinātības trīspusējās sadarbības apakšpadome (turpmāk – padome). Padomes sēdes projekta uzraudzības jautājumos tiek sasauktas atbilstoši nepieciešamībai, bet ne retāk kā divas reizes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 projekta īstenošanas uzraudzībā veic šādus uzdevumus: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finansējuma saņēmēja iesniegtos pārskatus par projekta īstenošanas gaitu, tai skaitā sasniegto rezultātu progresu, saturisko kvalitāti un ilgtspēju, kā arī atbilstību projekta mērķim un sniedz ieteikumus finansējuma saņēmējam;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analizē projekta īstenošanas problēmas, apdraudējumus un riskus un sniedz finansējuma saņēmējam priekšlikumus projekta īstenošanas pilnveidei, lai sekmētu projekta efektīvu un kvalitatīvu rezultātu sasniegšanu atbilstoši projekta mērķim;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veicot projekta īstenošanas uzraudzību, ir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uzaicināt piedalīties padomes sēdēs ar padomdevēja tiesībām valsts, pašvaldību, nevalstisko organizāciju pārstāvjus;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uzraudzības aktuālajos jautājumos sadarboties ar ekspertiem, ministrijām, to padotībā esošajām iestādēm un citām valsts institūcijām;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projekta īstenošanas uzraudzībai aktuālo informāciju no valsts un pašvaldību iestādēm;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priekšlikumus Izglītības un zinātnes ministrijai un finansējuma saņēmējam projekta īstenošanas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sēdēs, kad tiek izskatīti ar projekta īstenošanas uzraudzību saistītie jautājumi, eksperta statusā uzaicina piedalīties atbildīgās iestādes un sadarbības iestādes pārstāvjus.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Publiskos iepirkumus finansējuma saņēmējs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sadarbībā ar Valsts izglītības satura centru, nozaru profesionālajām organizācijām, uzņēmumiem, profesionālās izglītības iestādēm, kā arī pēc konsultēšanās ar Izglītības un zinātnes ministriju izstrādā un līdz 2025. gada 31. decembrim iesniedz Izglītības un zinātnes ministrijā profesionālās izglītības prasmju meistarības konkursu un talantu attīstības īstenošanas modeli pēc 2027. gada. Minētajā modelī paredz vismaz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definēt profesionālās izglītības iestādes, izglītojamā un uzņēmuma savstarpējās sadarbības modeli un pienākumus prasmju meistarības konkursu ieviešanai un talantu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prasmju meistarības konkursu ieviešanas un talantu attīstības izmaksu struktūru un finansēšanas modeli (nodrošināt papildu finansējuma piesaisti no citām nacionālajām vai starptautiskajām attīstības programmām vai piesaistīt privāto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 priekšlikumus prasmju meistarības konkursu ieviešanas un talantu attīstības īstenošanas datu uzkrāšanai;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prasmju meistarības konkursu ieviešanas un talantu attīstības uzraudzības procesu un metodiskā atbalsta nodrošināšanas modeli.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gaitā radušos izmaksu sadārdzinājumu finansējuma saņēmējs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demarkāciju ar citiem līdzīgiem vai saistītiem projektiem un novērš dubultā finansējuma risku.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veicinātu horizontālā principa "vienlīdzība, iekļaušana, nediskriminācija un pamattiesību ievērošana" ieviešanu, projektā plāno vispārīgas un specifiskas darbības, kas veicina vienlīdzību, iekļaušanu, nediskrimināciju un pamattiesību ievērošanu.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uzkrāj datus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nacionālo rādītāju vērtībām;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un starptautisko jauno profesionāļu meistarības konkursu ietvaros atbalstu saņēmušo konkursantu skaitu, dzimumu, vecumu, profesionālās izglītības iestādi un profesionālo kvalifikāciju;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5.3. </w:t>
      </w:r>
      <w:r w:rsidR="00000000" w:rsidRPr="00000000" w:rsidDel="00000000">
        <w:rPr>
          <w:rtl w:val="0"/>
        </w:rPr>
        <w:t xml:space="preserve">apakšpunktā</w:t>
      </w:r>
      <w:r w:rsidR="00000000" w:rsidRPr="00000000" w:rsidDel="00000000">
        <w:rPr>
          <w:rtl w:val="0"/>
        </w:rPr>
        <w:t xml:space="preserve"> minētajiem konkursantiem atbilstoši Eiropas Parlamenta un Padomes 2021. gada 24. jūnija Regulas (ES) Nr. 2021/1057, ar ko izveido Eiropas Sociālo fondu Plus (ESF+) un atceļ Regulu (ES) Nr. 1296/2013, I pielikumam un normatīvajiem aktiem, kas nosaka Eiropas Savienības fondu projektu pārbaužu veikšanas kārtību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izglītības programmām, kurās ir integrētas starptautiskajiem prasmju meistarības standartiem atbilstošas kompetences;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šādu horizontālā principa "Vienlīdzība, iekļaušana, nediskriminācija un pamattiesību ievērošana" rādītāju – 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projekta īstenošanas laikā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informāciju par projekta īstenošanas gaitu savā tīmekļvietnē aktualizē, tiklīdz tā pieejama,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23-TA-262</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23-TA-262</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noteikumu_projekts_23-TA-262.docx</dc:title>
</cp:coreProperties>
</file>

<file path=docProps/custom.xml><?xml version="1.0" encoding="utf-8"?>
<Properties xmlns="http://schemas.openxmlformats.org/officeDocument/2006/custom-properties" xmlns:vt="http://schemas.openxmlformats.org/officeDocument/2006/docPropsVTypes"/>
</file>