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9. maijā (prot. Nr. 25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17. aprīļa noteikumos Nr. 275 "Prasības tādu dzīvnieku izcelsmes blakusproduktu un atvasinātu produktu apritei, kas nav paredzēti cilvēku patēriņam"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17. aprīļa noteikumos Nr. 275 "Prasības tādu dzīvnieku izcelsmes blakusproduktu un atvasinātu produktu apritei, kas nav paredzēti cilvēku patēriņam" (Latvijas Vēstnesis, 2012, 62. nr.; 2013, 52. nr.; 2014, 236. nr.; 2016, 239. nr.; 2018, 34. nr.; 2019, 176. nr.; 2021, 107.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Blakusproduktu apritē iesaistītā persona Latvijas teritorijā transportējamiem blakusproduktiem nodrošina regulas Nr. 142/2011 17. pantā noteiktajām prasībām atbilstošu tirdzniecības dokumentu, kas sagatavots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papīra formā;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Latvijas teritorijā atļauts ievest no trešajām valstīm vai to teritorijas daļām vai vest no Eiropas Savienības ārējā robežkontroles punkta cauri Latvijai uz citu Eiropas Savienības dalībvalsti izmantotu cepamo eļļu, kas ir trešās kategorijas blakusprodukts,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 izmantotā cepamā eļļa ir no trešās valsts atzīta vai reģistrēta uzņēmuma, kas ir iekļauts Eiropas Komisijas apstiprinātajā Integrētās datorizētās veterinārās sistēmas (</w:t>
      </w:r>
      <w:r w:rsidR="00000000" w:rsidRPr="00000000" w:rsidDel="00000000">
        <w:rPr>
          <w:i w:val="1"/>
          <w:rtl w:val="0"/>
        </w:rPr>
        <w:t xml:space="preserve">TRACES</w:t>
      </w:r>
      <w:r w:rsidR="00000000" w:rsidRPr="00000000" w:rsidDel="00000000">
        <w:rPr>
          <w:rtl w:val="0"/>
        </w:rPr>
        <w:t xml:space="preserve">)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 izmantotā cepamā eļļa ir marķēta atbilstoši regulas Nr. 142/2011 VIII pielikuma II nodaļā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 blakusprodukta apritē iesaistītais uzņēmējs, uz kura uzņēmumu Latvijas teritorijā no trešajām valstīm ved izmantoto cepamo eļļu, ir atbilstoši normatīvajiem aktiem par kārtību, kādā atzīst uzņēmumus un iekārtas un reģistrē personas, kas iesaistītas tādu blakusproduktu un atvasinātu produktu apritē, kuri nav paredzēti cilvēku patēriņam, reģistrēts vai atzīts dienestā  darbībām, kas minētas regulas Nr. 1069/2009 24. panta 1. punkta "a"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 izmantotās cepamās eļļas sūtījumam ir pievienota importētāja parakstīta deklarācija (6.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 šo noteikumu 38.</w:t>
      </w:r>
      <w:r w:rsidR="00000000" w:rsidRPr="00000000" w:rsidDel="00000000">
        <w:rPr>
          <w:vertAlign w:val="superscript"/>
          <w:rtl w:val="0"/>
        </w:rPr>
        <w:t xml:space="preserve">1</w:t>
      </w:r>
      <w:r w:rsidR="00000000" w:rsidRPr="00000000" w:rsidDel="00000000">
        <w:rPr>
          <w:rtl w:val="0"/>
        </w:rPr>
        <w:t xml:space="preserve">4. apakšpunktā minētajai deklarācijai ir pievienota saņēmējas valsts kompetentās iestādes izsniegta atļauja un piemērojamās prasības izmantotas cepamās eļļas ievešanai, ja izmantotu cepamo eļļu paredzēts vest no Eiropas Savienības ārējā robežkontroles punkta cauri Latvijai uz citu Eiropas Savienības dalībvalsti."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23-TA-204</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23-TA-204</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noteikumu_(grozījumu)_projekts_23-TA-204.docx</dc:title>
</cp:coreProperties>
</file>

<file path=docProps/custom.xml><?xml version="1.0" encoding="utf-8"?>
<Properties xmlns="http://schemas.openxmlformats.org/officeDocument/2006/custom-properties" xmlns:vt="http://schemas.openxmlformats.org/officeDocument/2006/docPropsVTypes"/>
</file>