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2010.gada 5.oktobra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927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Īpašās stabilitātes prasības ro-ro pasažieru kuģiem un modeļa testēšanas metode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 iedaļa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Šajā iedaļā atsauces uz SOLAS konvencijas noteikumiem uzskata par atsaucēm uz tiem noteikumiem, kas tika piemēroti saskaņā ar SOLAS 90.</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 Īpašās stabilitātes prasības ro-ro pasažieru kuģiem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Papildus SOLAS konvencijas II-1./B/8. noteikuma prasībām attiecībā uz ūdensnecaurlaidīgu sadalījumu un stabilitāti bojātā stāvoklī ir jāievēro šādas šā pielikuma A iedaļas prasības: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atbilstību SOLAS konvencijas II-I/B/8.2.3 noteikuma prasībām nodrošina, ņemot vērā iespaidu, ko var radīt hipotētisks jūras ūdens daudzums, ja tas pēc kuģa bojājuma krājas uz pirmā klāja virs ro-ro kravas telpas vai īpašās kravas telpas konstruktīvās ūdenslīnijas (SOLAS konvencijas II-2/3 noteikums) (turpmāk – bojātais ro-ro klājs). Pārējās SOLAS konvencijas II-I/B/8 noteikuma prasības, piemērojot šajā pielikumā minētās stabilitātes prasības, nav jāizpilda. Jūras ūdens daudzumu, kas varētu uzkrāties, aprēķina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ņem vērā ūdens līmeni noteiktā augstumā virs bojātā nodalījuma klāja malas zemākā punkta;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ja bojātā nodalījuma klāja mala ir iegrimusi, aprēķinā izmanto noteiktu augstumu virs mierīga ūdens virsmas līmeņa visos sānsveres un galsveres leņķos: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1.1.2.1.  0,5 m, ja atlikušais brīvsāns (f</w:t>
      </w:r>
      <w:r w:rsidR="00000000" w:rsidRPr="00000000" w:rsidDel="00000000">
        <w:rPr>
          <w:vertAlign w:val="subscript"/>
          <w:rtl w:val="0"/>
        </w:rPr>
        <w:t xml:space="preserve">r</w:t>
      </w:r>
      <w:r w:rsidR="00000000" w:rsidRPr="00000000" w:rsidDel="00000000">
        <w:rPr>
          <w:rtl w:val="0"/>
        </w:rPr>
        <w:t xml:space="preserve">) ir 0,3 m vai mazāks;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1.1.2.2.  0,0 m, ja atlikušais brīvsāns (f</w:t>
      </w:r>
      <w:r w:rsidR="00000000" w:rsidRPr="00000000" w:rsidDel="00000000">
        <w:rPr>
          <w:vertAlign w:val="subscript"/>
          <w:rtl w:val="0"/>
        </w:rPr>
        <w:t xml:space="preserve">r</w:t>
      </w:r>
      <w:r w:rsidR="00000000" w:rsidRPr="00000000" w:rsidDel="00000000">
        <w:rPr>
          <w:rtl w:val="0"/>
        </w:rPr>
        <w:t xml:space="preserve">) ir 2,0 m vai lielāks;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1.1.2.3.  starpvērtības, ko nosaka ar lineāro interpolāciju, ja atlikušais brīvsāns (f</w:t>
      </w:r>
      <w:r w:rsidR="00000000" w:rsidRPr="00000000" w:rsidDel="00000000">
        <w:rPr>
          <w:vertAlign w:val="subscript"/>
          <w:rtl w:val="0"/>
        </w:rPr>
        <w:t xml:space="preserve">r</w:t>
      </w:r>
      <w:r w:rsidR="00000000" w:rsidRPr="00000000" w:rsidDel="00000000">
        <w:rPr>
          <w:rtl w:val="0"/>
        </w:rPr>
        <w:t xml:space="preserve">) ir lielāks par 0,3 m, bet mazāks par 2,0 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ja ierīko augstas efektivitātes ūdens novadīšanas sistēmu, Kuģošanas drošības inspekcija var atļaut samazināt ūdens līmeņa augstumu;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kuģiem, kas veic pārvadājumus ģeogrāfiski noteiktos ierobežotos rajonos, Kuģošanas drošības inspekcija var samazināt saskaņā ar šā pielikuma 1.1.apakšpunktu noteikto ūdens līmeņa augstumu, aizvietojot to 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0,0 m, ja nozīmīgo viļņu augstums (h</w:t>
      </w:r>
      <w:r w:rsidR="00000000" w:rsidRPr="00000000" w:rsidDel="00000000">
        <w:rPr>
          <w:vertAlign w:val="subscript"/>
          <w:rtl w:val="0"/>
        </w:rPr>
        <w:t xml:space="preserve">s</w:t>
      </w:r>
      <w:r w:rsidR="00000000" w:rsidRPr="00000000" w:rsidDel="00000000">
        <w:rPr>
          <w:rtl w:val="0"/>
        </w:rPr>
        <w:t xml:space="preserve">) attiecīgajā rajonā ir 1,5 m vai mazāks;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saskaņā ar šā pielikuma 1.1.apakšpunktā noteikto vērtību, ja nozīmīgo viļņu augstums (h</w:t>
      </w:r>
      <w:r w:rsidR="00000000" w:rsidRPr="00000000" w:rsidDel="00000000">
        <w:rPr>
          <w:vertAlign w:val="subscript"/>
          <w:rtl w:val="0"/>
        </w:rPr>
        <w:t xml:space="preserve">s</w:t>
      </w:r>
      <w:r w:rsidR="00000000" w:rsidRPr="00000000" w:rsidDel="00000000">
        <w:rPr>
          <w:rtl w:val="0"/>
        </w:rPr>
        <w:t xml:space="preserve">) attiecīgajā rajonā ir 4,0 m vai lielāks;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 starpvērtību, ko nosaka ar lineāro interpolāciju, ja nozīmīgo viļņu augstums (h</w:t>
      </w:r>
      <w:r w:rsidR="00000000" w:rsidRPr="00000000" w:rsidDel="00000000">
        <w:rPr>
          <w:vertAlign w:val="subscript"/>
          <w:rtl w:val="0"/>
        </w:rPr>
        <w:t xml:space="preserve">s</w:t>
      </w:r>
      <w:r w:rsidR="00000000" w:rsidRPr="00000000" w:rsidDel="00000000">
        <w:rPr>
          <w:rtl w:val="0"/>
        </w:rPr>
        <w:t xml:space="preserve">) attiecīgajā rajonā ir lielāks par 1,5 m, bet mazāks par 4,0 m, ja ir izpildīti visi šie nosacījumi: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1.3.3.1. Kuģošanas drošības inspekcija ir pārliecināta, ka attiecīgajā rajonā nozīmīgo viļņu augstuma (h</w:t>
      </w:r>
      <w:r w:rsidR="00000000" w:rsidRPr="00000000" w:rsidDel="00000000">
        <w:rPr>
          <w:vertAlign w:val="subscript"/>
          <w:rtl w:val="0"/>
        </w:rPr>
        <w:t xml:space="preserve">s</w:t>
      </w:r>
      <w:r w:rsidR="00000000" w:rsidRPr="00000000" w:rsidDel="00000000">
        <w:rPr>
          <w:rtl w:val="0"/>
        </w:rPr>
        <w:t xml:space="preserve">) pārsniegšanas varbūtība nav lielāka par 10 %;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1.3.3.2. sertifikātos ir norādīts ekspluatācijas rajons un, ja piemērojams, tā gada daļa, kurai noteikta konkrēta nozīmīgo viļņu augstuma (h</w:t>
      </w:r>
      <w:r w:rsidR="00000000" w:rsidRPr="00000000" w:rsidDel="00000000">
        <w:rPr>
          <w:vertAlign w:val="subscript"/>
          <w:rtl w:val="0"/>
        </w:rPr>
        <w:t xml:space="preserve">s</w:t>
      </w:r>
      <w:r w:rsidR="00000000" w:rsidRPr="00000000" w:rsidDel="00000000">
        <w:rPr>
          <w:rtl w:val="0"/>
        </w:rPr>
        <w:t xml:space="preserve">) vērtība;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Kuģošanas drošības inspekcija var nepiemērot šā pielikuma 1.1. vai 1.3.apakšpunkta prasības un akceptēt pierādījumus, kas iegūti, testējot kuģa modeli saskaņā ar šā pielikuma 2.nodaļu, un kas liecina, ka kuģis neapgāzīsies, ja tas būs guvis bojājumus SOLAS konvencijas II-1/B/8.4 noteikumā paredzētajā apjomā visnelabvēlīgākajā vietā (1.1.punkts) neregulāras jūras viļņošanās apstākļos;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kuģa sertifikātos jābūt norādei uz modeļa testēšanas rezultātiem, kas atbilst šā pielikuma 1.1. vai 1.3.apakšpunkta prasībām, un uz modeļa testēšanā izmantoto nozīmīgo viļņu augstumu;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informāciju, ko sniedz kapteinim saskaņā ar SOLAS konvencijas II-1/B/8.7.1 un II-1/B/8.7.2 noteikumiem, lai nodrošinātu atbilstību II-1/B/8.2.3 līdz II-1/B/8.2.3.4 noteikumiem, piemēro negrozītu tiem ro-ro pasažieru kuģiem, kas apstiprināti saskaņā ar šīm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Lai novērtētu iespaidu, ko varētu radīt uz bojātā ro-ro klāja sakrājies jūras ūdens, ņem vērā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šķērsenisko vai garenisko starpsienu uzskata par nebojātu, ja visas tās daļas atrodas kuģa abu bortu vertikālo virsmu iekšpusē tādā attālumā no kuģa korpusa metāla apšuvuma, kas vienāds ar vienu piektdaļu kuģa platuma (B/5), kā noteikts SOLAS konvencijas II-1/2 noteikumā, un mērīts taisnā leņķī no centra līnijas augstākās dalīšanas ūdenslīnijas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ja kuģa korpuss ir konstruktīvi daļēji paplašināts, lai nodrošinātu atbilstību šā pielikuma prasībām, palielinājumu vienas piektdaļas kuģa platuma apjomā izmanto visos aprēķinos, bet tas neiespaido esošo starpsienu šķērsojošo elementu, cauruļvadu un citu sistēmu atrašanās vietu, kas bijusi pieņemama arī pirms paplašināšanas;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šķērsenisko vai garenisko starpsienu necaurlaidība, ko pieņem par efektīvu, lai noturētu bojātā ro-ro klāja attiecīgajā nodalījumā sakrājušos jūras ūdeni, ir samērota ar ūdens novadīšanas sistēmu un iztur hidrostatisko spiedienu saskaņā ar bojājumu aprēķina rezultātiem. Šādām starpsienām jābūt vismaz 4 m augstām, ja ūdens augstums ir mazāks par 0,5 m. Šādos gadījumos šķērssienas augstumu aprēķina,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Bh = 8hw,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Bh – šķērssienas augstums;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hw – ūdens augstums.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Jebkurā gadījumā šķērssienas augstumam jābūt ne mazākam par 2,2 m. Kuģiem ar piekaramu automobiļu klāju minimālais starpsienas augstums nedrīkst būt mazāks par piekarāmā klāja apakšējo sānmalu augstumu, šiem klājiem atrodoties nolaistā stāvoklī;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ja kuģim ir īpaša konfigurācija (piemēram, pilna platuma piekaramie klāji un platas sānu šahtas), var akceptēt citu starpsienu augstumu, ņemot vērā detalizētus modeļa testus;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iespaidu, ko rada iespējamā jūras ūdens uzkrāšanās, neņem vērā attiecībā uz bojātā ro-ro klāja nodalījumiem, ja vien šādiem nodalījumiem katrā klāja pusē ir ūdensvārti, kas ir vienmērīgi izvietoti gar nodalījuma malām un kuri atbilst visiem šiem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 ūdensvārtu kopējā platība katrā klāja pusē aprēķināta,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 ≥ 0,3 x l ,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ūdensvārtu kopējā platība katrā klāja pusē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 – nodalījuma garums (m);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 ja kuģim ir visbīstamākie bojājumi, tas saglabā vismaz 1,0 m atlikušo brīvsānu, neņemot vērā iespaidu, ko rada iespējamais ūdens daudzums uz bojātā ro-ro klāja;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2.5.3. ūdensvārti atrodas 0,6 m augstumā virs bojātā ro-ro klāja, un to zemākā mala ir 2 cm robežās virs bojātā ro-ro klāja;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2.5.4. ūdensvārti ir aprīkoti ar aizvēršanas iekārtām vai neatgriezeniskajiem vārstiem, lai novērstu ūdens nokļūšanu uz ro-ro klāja, bet ļautu aizplūst ūdenim, kas uz tā varētu sakrāties;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ja pieņem, ka ir bojāta starpsiena virs ro-ro klāja, tad pieņem, ka arī abi nodalījumi, kas robežojas ar šo starpsienu, ir applūduši līdz tādam pašam ūdens līmenim, kāds aprēķināts saskaņā ar šā pielikuma 1.1. vai 1.3.apakšpunktu.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Nozīmīgo viļņu augstumu nosaka saskaņā ar Stokholmas līguma 1.pielikumu atbilstoši Ministru kabineta 2010.gada 5.oktobra noteikumu Nr.927 "Noteikumi par īpašām stabilitātes prasībām ro-ro pasažieru kuģiem" III nodaļai. Kuģiem, ko paredzēts izmantot pārvadājumiem tikai īsu laikposmu saskaņā ar šo noteikumu VI nodaļu, nozīmīgo viļņu augstumu nosaka Latvijas Jūras administrācija, vienojoties ar valstīm, kuru ostas ir iekļautas kuģa maršrutā.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 Modeļa testēšanas metode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2.1. Mērķi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Šā pielikuma 1.4.apakšpunktā minētajos stabilitātes testos kuģim jābūt spējīgam izturēt neregulāru jūras viļņošanos saskaņā ar Stokholmas līguma 1.pielikumu, ja tas guvis visbīstamākos bojājumus (kā noteikts SOLAS konvencijas II-1/B/8.2.3.2 noteikumā) visnelabvēlīgākajā vietā iespējami sliktākajā avārijas scenārijā.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2.2. Kuģa modelis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Kuģa modelim jāatbilst reālajam kuģim gan ārējās konfigurācijas, gan iekšējā nodalījumu izvietojuma ziņā, jo īpaši attiecībā uz visām bojātajām telpām, kas var iespaidot applūšanas un ūdens aizplūšanas procesu. Testā attēlo visbīstamāko bojājumu gadījumu. Papildu tests ir jāveic attiecībā uz bojājumiem kuģa vidusdaļā uz līdzena ķīļa, ja visbīstamāko bojājumu vieta saskaņā ar SOLAS konvencijas</w:t>
      </w:r>
      <w:r w:rsidR="00000000" w:rsidRPr="00000000" w:rsidDel="00000000">
        <w:rPr>
          <w:b w:val="1"/>
          <w:rtl w:val="0"/>
        </w:rPr>
        <w:t xml:space="preserve"> </w:t>
      </w:r>
      <w:r w:rsidR="00000000" w:rsidRPr="00000000" w:rsidDel="00000000">
        <w:rPr>
          <w:rtl w:val="0"/>
        </w:rPr>
        <w:t xml:space="preserve">standartu atrodas ārpus ± 10 % L</w:t>
      </w:r>
      <w:r w:rsidR="00000000" w:rsidRPr="00000000" w:rsidDel="00000000">
        <w:rPr>
          <w:vertAlign w:val="subscript"/>
          <w:rtl w:val="0"/>
        </w:rPr>
        <w:t xml:space="preserve">pp</w:t>
      </w:r>
      <w:r w:rsidR="00000000" w:rsidRPr="00000000" w:rsidDel="00000000">
        <w:rPr>
          <w:rtl w:val="0"/>
        </w:rPr>
        <w:t xml:space="preserve"> no kuģa vidusdaļas. Šis papildu tests jāveic tikai tad, ja pieņem, ka ir bojātas ro-ro telpas.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Kuģa modelis atbilst šādiem parametriem: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attālums starp perpendikuliem (L</w:t>
      </w:r>
      <w:r w:rsidR="00000000" w:rsidRPr="00000000" w:rsidDel="00000000">
        <w:rPr>
          <w:vertAlign w:val="subscript"/>
          <w:rtl w:val="0"/>
        </w:rPr>
        <w:t xml:space="preserve">pp</w:t>
      </w:r>
      <w:r w:rsidR="00000000" w:rsidRPr="00000000" w:rsidDel="00000000">
        <w:rPr>
          <w:rtl w:val="0"/>
        </w:rPr>
        <w:t xml:space="preserve">) ir vismaz 3 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korpuss ir pietiekami plāns vietās, kur tā biezums var iespaidot testa rezultātus;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 kustības raksturlielumus modelē atbilstoši kuģa kustībai, īpašu uzmanību pievēršot masas inerces rādiusu mērogošanai kuģa zvalstīšanās un galiskās šūpošanās kustībās. Iegrime, galsvere, sānsvere un smaguma centrs ir tāds pats kā kuģim, kas guvis visbīstamākos bojājumus;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 galvenos konstrukcijas elementus (piemēram, ūdensnecaurlaidīgās starpsienas, ventilācijas lūkas virs un zem starpsienu klāja), kas var radīt asimetrisku applūšanu, modelē iespējami precīzi, lai tie atbilstu reālajam stāvoklim;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 bojājumu radītās atveres forma ir šāda: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6.5.1. četrstūrveida sānu profils SOLAS konvencijas II-1/B/8.4.1 noteikumā noteiktajā platumā un neierobežotā augstumā vertikālā plaknē;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6.5.2. vienādsānu trijstūra veida profils horizontālā plaknē, kura augstums ir vienāds ar B/5 saskaņā ar SOLAS konvencijas II-1/B/8.4.2 noteikumu.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2.3. Izmēģinājumu process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Kuģa modeli izmēģina garu jūras viļņu neregulāras viļņošanās apstākļos, ko nosaka ar </w:t>
      </w:r>
      <w:r w:rsidR="00000000" w:rsidRPr="00000000" w:rsidDel="00000000">
        <w:rPr>
          <w:i w:val="1"/>
          <w:rtl w:val="0"/>
        </w:rPr>
        <w:t xml:space="preserve">Jonswap</w:t>
      </w:r>
      <w:r w:rsidR="00000000" w:rsidRPr="00000000" w:rsidDel="00000000">
        <w:rPr>
          <w:rtl w:val="0"/>
        </w:rPr>
        <w:t xml:space="preserve"> spektru, nodrošinot šā pielikuma 1.3.apakšpunktā noteikto nozīmīgo viļņu augstumu (h</w:t>
      </w:r>
      <w:r w:rsidR="00000000" w:rsidRPr="00000000" w:rsidDel="00000000">
        <w:rPr>
          <w:vertAlign w:val="subscript"/>
          <w:rtl w:val="0"/>
        </w:rPr>
        <w:t xml:space="preserve">s</w:t>
      </w:r>
      <w:r w:rsidR="00000000" w:rsidRPr="00000000" w:rsidDel="00000000">
        <w:rPr>
          <w:rtl w:val="0"/>
        </w:rPr>
        <w:t xml:space="preserve">) un šādu maksimālo pastiprināšanās faktoru (</w:t>
      </w:r>
      <w:r w:rsidR="00000000" w:rsidRPr="00000000" w:rsidDel="00000000">
        <w:rPr>
          <w:i w:val="1"/>
          <w:rtl w:val="0"/>
        </w:rPr>
        <w:t xml:space="preserve">y</w:t>
      </w:r>
      <w:r w:rsidR="00000000" w:rsidRPr="00000000" w:rsidDel="00000000">
        <w:rPr>
          <w:rtl w:val="0"/>
        </w:rPr>
        <w:t xml:space="preserve">) un maksimālo periodu (T</w:t>
      </w:r>
      <w:r w:rsidR="00000000" w:rsidRPr="00000000" w:rsidDel="00000000">
        <w:rPr>
          <w:vertAlign w:val="subscript"/>
          <w:rtl w:val="0"/>
        </w:rPr>
        <w:t xml:space="preserve">p</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T</w:t>
      </w:r>
      <w:r w:rsidR="00000000" w:rsidRPr="00000000" w:rsidDel="00000000">
        <w:rPr>
          <w:vertAlign w:val="subscript"/>
          <w:rtl w:val="0"/>
        </w:rPr>
        <w:t xml:space="preserve">p</w:t>
      </w:r>
      <w:r w:rsidR="00000000" w:rsidRPr="00000000" w:rsidDel="00000000">
        <w:rPr>
          <w:rtl w:val="0"/>
        </w:rPr>
        <w:t xml:space="preserve"> = 4√h</w:t>
      </w:r>
      <w:r w:rsidR="00000000" w:rsidRPr="00000000" w:rsidDel="00000000">
        <w:rPr>
          <w:vertAlign w:val="subscript"/>
          <w:rtl w:val="0"/>
        </w:rPr>
        <w:t xml:space="preserve">s</w:t>
      </w:r>
      <w:r w:rsidR="00000000" w:rsidRPr="00000000" w:rsidDel="00000000">
        <w:rPr>
          <w:rtl w:val="0"/>
        </w:rPr>
        <w:t xml:space="preserve">, γ =3,3;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T</w:t>
      </w:r>
      <w:r w:rsidR="00000000" w:rsidRPr="00000000" w:rsidDel="00000000">
        <w:rPr>
          <w:vertAlign w:val="subscript"/>
          <w:rtl w:val="0"/>
        </w:rPr>
        <w:t xml:space="preserve">p</w:t>
      </w:r>
      <w:r w:rsidR="00000000" w:rsidRPr="00000000" w:rsidDel="00000000">
        <w:rPr>
          <w:rtl w:val="0"/>
        </w:rPr>
        <w:t xml:space="preserve"> vienāds ar zvalstīšanās rezonanses periodu bojātam kuģim, uz kura klāja nav ūdens, noteiktā iekraušanas stāvoklī, bet ne lielāku par 6√h</w:t>
      </w:r>
      <w:r w:rsidR="00000000" w:rsidRPr="00000000" w:rsidDel="00000000">
        <w:rPr>
          <w:vertAlign w:val="subscript"/>
          <w:rtl w:val="0"/>
        </w:rPr>
        <w:t xml:space="preserve">s</w:t>
      </w:r>
      <w:r w:rsidR="00000000" w:rsidRPr="00000000" w:rsidDel="00000000">
        <w:rPr>
          <w:rtl w:val="0"/>
        </w:rPr>
        <w:t xml:space="preserve">, γ =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Kuģa modelim ir jāspēj brīvi dreifēt un atrasties jūrā ar šķērseniskiem viļņiem (90° kurss) ar bojājumu radīto atveri pret pretī nākošajiem viļņiem. Kuģa modelim nav jābūt stabilizētam tā, lai tas neapgāztos. Ja kuģa modelis pēc applūšanas ir vertikālā stāvoklī, tas jāsasver bojājuma virzienā par vienu sānsveres grādu.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Katram maksimālajam periodam veic vismaz piecus izmēģinājumus. Testēšanas laiks katrā reizē ir tik ilgs, līdz ir sasniegts nekustīgs stāvoklis, bet ne īsāks par 30 reālā laika minūtēm. Katrā testā izmanto atšķirīgu viļņu grupas veidošanu.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Ja nevienā no izmēģinājumiem kuģa modelis nesasveras bojājuma virzienā, veic šādus papildu izmēģinājumus, lai iespējami labāk demonstrētu noturību pret apgāšanos abos virzienos: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 papildu izmēģinājumus atkārto pa piecām reizēm abos šā pielikuma 7.1. un 7.2.apakšpunktā minētajos apstākļos;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 modeli sasver papildus par vienu sānsveres leņķi pret bojājumu un papildu izmēģinājumus atkārto pa divām reizēm abos šā pielikuma 7.1. un 7.2.apakšpunktā minētajos apstākļos.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Testus veic šādiem bojājumiem: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visbīstamākajam bojājumam attiecībā uz laukumu zem stabilitātes pleca (GZ) līknes saskaņā ar SOLAS konvenciju;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visbīstamākajam kuģa vidusdaļas bojājumam attiecībā uz atlikušo brīvsānu  kuģa vidusdaļā, ja to paredz šā pielikuma 2.1.apakšpunkts.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2.4. Ilgizturības kritēriji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Kuģi uzskata par ilgizturīgu, ja vairākkārtējos secīgos testos tā stāvoklis ir nekustīgs, kā paredzēts šā pielikuma 9.punktā. Vairāk nekā 30° liels zvalstīšanās leņķis pret vertikālo asi, ja tas fiksēts biežāk nekā 20 % zvalstīšanās ciklu, vai pastāvīga sānsvere, kas lielāka par 20°, tiek uzskatīta par apgāšanos, pat ja ir sasniegts nekustīgs stāvoklis.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2.5. Testa apstiprināšana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Kuģa modeļu testēšanas programmu priekšlikumus iesniedz Latvijas Jūras administrācijā apstiprināšanai. Ņem vērā, ka iespējami sliktāko avārijas scenāriju var radīt arī mazāki bojājumi.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Testa norisi dokumentē ziņojumā un videoierakstā vai izmantojot cita veida vizuālu dokumentēšanu, nodrošinot nepieciešamo informāciju par kuģi un testa rezultātiem.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B iedaļa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Jāievēro SOLAS 2020 II-1. nodaļas B daļas prasības. Tomēr, atkāpjoties no SOLAS 2020 II-1./B/6.2.3. noteikuma, nepieciešamo sadalījuma indeksu (R) nosaka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15"/>
        <w:gridCol w:w="4625"/>
        <w:tblGridChange w:id="0">
          <w:tblGrid>
            <w:gridCol w:w="4715"/>
            <w:gridCol w:w="4625"/>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Personas uz kuģa (N)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Sadalījuma indekss (R)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 &lt; 1 000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 = 0,000088 x N +0,7488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1 000 ≤ N ≤ 1 350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 = 0,0369 x ln (N + 89,048 ) + 0,579</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 – kopējais cilvēku skaits uz kuģa.</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24-TA-1389</w:t>
    </w:r>
    <w:r>
      <w:br/>
    </w:r>
    <w:r w:rsidR="00000000" w:rsidRPr="00000000" w:rsidDel="00000000">
      <w:rPr>
        <w:rtl w:val="0"/>
      </w:rPr>
      <w:t xml:space="preserve">Izdrukāts 29.07.2026. 22.23 - 1.0.VK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24-TA-1389</w:t>
    </w:r>
    <w:r>
      <w:br/>
    </w:r>
    <w:r w:rsidR="00000000" w:rsidRPr="00000000" w:rsidDel="00000000">
      <w:rPr>
        <w:rtl w:val="0"/>
      </w:rPr>
      <w:t xml:space="preserve">Izdrukāts 29.07.2026. 22.23 - 1.0.VK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noteikumu_konsolidētā_versija_p1_24-TA-1389.docx</dc:title>
</cp:coreProperties>
</file>

<file path=docProps/custom.xml><?xml version="1.0" encoding="utf-8"?>
<Properties xmlns="http://schemas.openxmlformats.org/officeDocument/2006/custom-properties" xmlns:vt="http://schemas.openxmlformats.org/officeDocument/2006/docPropsVTypes"/>
</file>