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5.oktobra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927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Vadlīnijas īpašo stabilitātes prasību piemērošanā un modeļa testēšanā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Piemērošana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2010.gada 5.oktobra noteikumiem Nr.927 "Noteikumi par īpašām stabilitātes prasībām ro-ro pasažieru kuģiem" (turpmāk – noteikumi), piemērojot šo noteikumu 1. pielikuma A iedaļā noteiktās īpašās stabilitātes prasības, ciktāl tas ir iespējams un samērojams ar attiecīgā kuģa konstrukciju, Kuģošanas drošības inspekcija vai klasifikācijas sabiedrība ievēro šajā pielikumā noteiktās vadlīnijas. Turpmāk lietotā punktu numerācija atbilst šo noteikumu 1. pielikuma A iedaļas punktu numerācijai.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377"/>
        <w:gridCol w:w="7413"/>
        <w:tblGridChange w:id="0">
          <w:tblGrid>
            <w:gridCol w:w="610"/>
            <w:gridCol w:w="1377"/>
            <w:gridCol w:w="74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Stabilitātes prasības saskaņā ar noteikumu 1.pielikumu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Stabilitātes prasību piemērošanas vadlīnijas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ro-ro pasažieru kuģiem ir jāatbilst SOLAS konvencijas prasībām</w:t>
            </w:r>
            <w:r w:rsidR="00000000" w:rsidRPr="00000000" w:rsidDel="00000000">
              <w:rPr>
                <w:b w:val="1"/>
                <w:rtl w:val="0"/>
              </w:rPr>
              <w:t xml:space="preserve"> </w:t>
            </w:r>
            <w:r w:rsidR="00000000" w:rsidRPr="00000000" w:rsidDel="00000000">
              <w:rPr>
                <w:rtl w:val="0"/>
              </w:rPr>
              <w:t xml:space="preserve">attiecībā uz atlikuma stabilitāti. Tas attiecas uz visiem pasažieru kuģiem, kas uzbūvēti, sākot ar 1990.gada 29.aprīli. Šīs prasības piemērošanas dēļ nosaka atlikušā brīvsāna augstumu (f</w:t>
            </w:r>
            <w:r w:rsidR="00000000" w:rsidRPr="00000000" w:rsidDel="00000000">
              <w:rPr>
                <w:vertAlign w:val="subscript"/>
                <w:rtl w:val="0"/>
              </w:rPr>
              <w:t xml:space="preserve">r</w:t>
            </w:r>
            <w:r w:rsidR="00000000" w:rsidRPr="00000000" w:rsidDel="00000000">
              <w:rPr>
                <w:rtl w:val="0"/>
              </w:rPr>
              <w:t xml:space="preserve">), ko izmanto šā pielikuma 2.punktā paredzētajos aprēķinos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Šis punkts attiecas uz hipotētisku ūdens daudzumu, kas uzkrājies uz starpsienu (ro-ro) klāja. Pieņem, ka ūdens ir ieplūdis uz klāja caur bojājuma radīto atveri. Šis punkts paredz, ka kuģim papildus atbilstībai visām SOLAS konvencijas prasībām ir jāatbilst arī tai SOLAS konvencijas kritēriju daļai, kas ietverta II-1/B/8 noteikuma 2.3 līdz 2.3.4 punktā, aprēķinos ņemot vērā noteiktu ūdens daudzumu uz klāja. Šajā aprēķinā nav jāņem vērā citas II-1/B/8 noteikuma prasības. Piemēram, šajā aprēķinā kuģim nav jāatbilst prasībām par līdzsvara leņķiem vai robežlīnijas neiegrimšanu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Uzkrājušos ūdeni pievieno kā šķidru kravu ar vienu kopēju virsmu visu to nodalījumu iekšpusē, kurus pieņem par applūdušiem uz automobiļu klāja. Ūdens līmeņa augstums (h</w:t>
            </w:r>
            <w:r w:rsidR="00000000" w:rsidRPr="00000000" w:rsidDel="00000000">
              <w:rPr>
                <w:vertAlign w:val="subscript"/>
                <w:rtl w:val="0"/>
              </w:rPr>
              <w:t xml:space="preserve">w</w:t>
            </w:r>
            <w:r w:rsidR="00000000" w:rsidRPr="00000000" w:rsidDel="00000000">
              <w:rPr>
                <w:rtl w:val="0"/>
              </w:rPr>
              <w:t xml:space="preserve">) uz klāja ir atkarīgs no atlikušā brīvsāna (f</w:t>
            </w:r>
            <w:r w:rsidR="00000000" w:rsidRPr="00000000" w:rsidDel="00000000">
              <w:rPr>
                <w:vertAlign w:val="subscript"/>
                <w:rtl w:val="0"/>
              </w:rPr>
              <w:t xml:space="preserve">r</w:t>
            </w:r>
            <w:r w:rsidR="00000000" w:rsidRPr="00000000" w:rsidDel="00000000">
              <w:rPr>
                <w:rtl w:val="0"/>
              </w:rPr>
              <w:t xml:space="preserve">) pēc bojājumu gūšanas, un to mēra bojājuma līmenī (sk. 1.att.). Atlikušais brīvsāns ir minimālais attālums starp bojāto ro-ro klāju un galējo ūdenslīniju (pēc līdzsvarošanas pasākumiem, ja tādi veikti) hipotētisko bojājumu līmenī pēc visu iespējamo bojājumu scenāriju pārbaudes, nosakot atbilstību SOLAS konvencijas prasībām. Aprēķinot (f</w:t>
            </w:r>
            <w:r w:rsidR="00000000" w:rsidRPr="00000000" w:rsidDel="00000000">
              <w:rPr>
                <w:vertAlign w:val="subscript"/>
                <w:rtl w:val="0"/>
              </w:rPr>
              <w:t xml:space="preserve">r</w:t>
            </w:r>
            <w:r w:rsidR="00000000" w:rsidRPr="00000000" w:rsidDel="00000000">
              <w:rPr>
                <w:rtl w:val="0"/>
              </w:rPr>
              <w:t xml:space="preserve">), nav jāņem vērā iespaids, ko var radīt hipotētisks ūdens daudzums, kas uzkrājies uz bojātā ro-ro klāja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atlikušais brīvsāns (f</w:t>
            </w:r>
            <w:r w:rsidR="00000000" w:rsidRPr="00000000" w:rsidDel="00000000">
              <w:rPr>
                <w:vertAlign w:val="subscript"/>
                <w:rtl w:val="0"/>
              </w:rPr>
              <w:t xml:space="preserve">r</w:t>
            </w:r>
            <w:r w:rsidR="00000000" w:rsidRPr="00000000" w:rsidDel="00000000">
              <w:rPr>
                <w:rtl w:val="0"/>
              </w:rPr>
              <w:t xml:space="preserve">) ir 2,0 m vai lielāks, pieņem, ka uz ro-ro klāja ūdens nav uzkrājies. Ja atlikušais brīvsāns (f</w:t>
            </w:r>
            <w:r w:rsidR="00000000" w:rsidRPr="00000000" w:rsidDel="00000000">
              <w:rPr>
                <w:vertAlign w:val="subscript"/>
                <w:rtl w:val="0"/>
              </w:rPr>
              <w:t xml:space="preserve">r</w:t>
            </w:r>
            <w:r w:rsidR="00000000" w:rsidRPr="00000000" w:rsidDel="00000000">
              <w:rPr>
                <w:rtl w:val="0"/>
              </w:rPr>
              <w:t xml:space="preserve">) ir 0,3 m vai mazāks, pieņem, ka ūdens līmeņa augstums ir 0,5 m. Ūdens līmeņa starpvērtības nosaka ar lineāro interpolāciju (sk. 2.att.)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novadīšanas līdzekļus var uzskatīt par efektīviem tikai tad, ja šie līdzekļi spēj novērst liela ūdens daudzuma sakrāšanos uz klāja, t.i., spēj novadīt vairākus tūkstošus tonnu ūdens stundā, kas ievērojami pārsniedz jaudas, kuras bija ierīkotas šo noteikumu pieņemšanas laikā. Šādas augstas efektivitātes ūdens novadīšanas sistēmas var izveidot un apstiprināt nākotnē (pamatojoties uz vadlīnijām, ko izstrādā IMO)</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Ūdens daudzumu, kas sakrājies uz klāja, papildus šā pielikuma 2.punktā minētajam samazinājumam var samazināt attiecībā uz pārvadājumiem ģeogrāfiski noteiktos ierobežotos rajonos. Šos rajonus nosaka atbilstoši nozīmīgo viļņu augstumam, kas raksturo minēto rajonu saskaņā ar noteikumu III nodaļu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1,5 m vai mazāks, pieņem, ka uz bojātā ro-ro klāja nav sakrājies papildu ūdens daudzums. Ja nozīmīgo viļņu augstums ir 4,0 m vai lielāks, tad tā ūdens līmeņa augstums, kas hipotētiski ir sakrājies uz klāja, ir vērtība, ko aprēķina saskaņā ar šā pielikuma 2.punktu. Starpvērtības nosaka ar lineāro interpolāciju (sk. 3.att.)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Ūdens līmenis (h</w:t>
            </w:r>
            <w:r w:rsidR="00000000" w:rsidRPr="00000000" w:rsidDel="00000000">
              <w:rPr>
                <w:vertAlign w:val="subscript"/>
                <w:rtl w:val="0"/>
              </w:rPr>
              <w:t xml:space="preserve">w</w:t>
            </w:r>
            <w:r w:rsidR="00000000" w:rsidRPr="00000000" w:rsidDel="00000000">
              <w:rPr>
                <w:rtl w:val="0"/>
              </w:rPr>
              <w:t xml:space="preserve">) saglabājas konstants, tādēļ pievienotā ūdens daudzums ir mainīgais lielums, jo tas ir atkarīgs no sānsveres leņķa un no tā, vai ar kādu noteiktu sānsveres leņķi klāja mala ir iegremdēta vai nav (sk. 4.att.). Jāievēro, ka automobiļu transportēšanas telpu pieņemtā ūdenscaurlaidība ir 90 % (IMO Kuģošanas drošības komitejas (turpmāk – MSC) apkārtraksts Nr.649 (MSC/Circ.649)), bet citu hipotētiski applūdušo telpu caurlaidību nosaka atbilstoši SOLAS konvencijai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aprēķini, ko veic, lai pierādītu atbilstību šiem noteikumiem, attiecas uz nozīmīgo viļņu augstumu, kas ir mazāks par 4,0 m, tas jānorāda pasažieru kuģa drošības sertifikātā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un 1.5.apakšpunkts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alternatīvu atbilstībai jaunajām stabilitātes prasībām, kas noteiktas šā pielikuma 2. vai 4.punktā, Kuģošanas drošības inspekcija vai klasifikācijas sabiedrība var akceptēt atbilstības pierādījumus, kas iegūti modeļu testos. Modeļu testa prasības izklāstītas noteikumu 1.pielikuma II daļā. Vadlīnijas modeļu testu veikšanai ir iekļautas šā pielikuma II daļā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SOLAS konvencijas prasības, kas limitē operatīvās(-o) līknes(-i) (KG vai GM), var nebūt piemērojamas, ja saskaņā ar noteikumiem pieņem, ka uz klāja ir sakrājies ūdens, un var rasties vajadzība noteikt pārskatītu(-as) ierobežojošo(-ās) līkni(-es), kur ņemts vērā pievienotā ūdens iespaids. Tādēļ jāveic aprēķini atbilstoši adekvātam ekspluatācijas iegrimju un galsveru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Pārskatītās ierobežojošās ekspluatācijas KG/GM līknes var noteikt ar atkārtošanu, kur minimālo pārsnieguma GM, kas noteikta avārijas izturības aprēķinos ar ūdeni uz klāja, pievieno ievades KG (vai atskaita no GM), ko izmanto brīvsānu (f</w:t>
            </w:r>
            <w:r w:rsidR="00000000" w:rsidRPr="00000000" w:rsidDel="00000000">
              <w:rPr>
                <w:vertAlign w:val="subscript"/>
                <w:rtl w:val="0"/>
              </w:rPr>
              <w:t xml:space="preserve">r</w:t>
            </w:r>
            <w:r w:rsidR="00000000" w:rsidRPr="00000000" w:rsidDel="00000000">
              <w:rPr>
                <w:rtl w:val="0"/>
              </w:rPr>
              <w:t xml:space="preserve">) noteikšanai pēc bojājumu gūšanas, pēc kuriem nosaka ūdens daudzumu uz klāja, šo procesu atkārtojot, līdz pārsnieguma GM kļūst neievērojama. Ir paredzams, ka operatori varētu sākt šādu atkārtošanu ar maksimālo KG un minimālo GM, kas atbilst pieņemtajiem darbības rādītājiem, un manipulēt ar klāja starpsienu izvietojumu, lai samazinātu pārsnieguma GM, kas iegūta avārijas izturības aprēķinos ar ūdeni uz klāja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noteikts SOLAS konvencijā, starpsienas, kas atrodas iekšpus B/5 līnijas, sadursmē gūtu sānu bojājumu gadījumā uzskata par neskartām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ierīkoti konstruktīvi sponsoni, lai nodrošinātu atbilstību II-1/B/8 noteikuma prasībām, un tādēļ ir palielināts kuģa platums (B) un arī kuģa B/5 attālums no kuģa sāniem, šādas modifikācijas dēļ nav jāpārvieto esošās konstrukcijas daļas vai atveres galvenajās ūdensnecaurlaidīgajās šķērssienās zem starpsienu klāja (sk. 5. att.)</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Esošajām šķērseniskajām vai gareniskajām starpsienām/barjerām, kuras ierobežo uz bojātā ro-ro klāja hipotētiski sakrājušās ūdens kustību, nav jābūt pilnīgi ūdensnecaurlaidīgām. Var pieļaut nelielu sūci, ja ūdens novadīšanas nosacījumi ļauj novērst ūdens sakrāšanos otrā starpsienas vai barjeras pusē. Ja, zūdot pozitīvai starpībai starp ūdens līmeņiem, notekas vairs nedarbojas, jānodrošina citi pasīvās ūdens novadīšanas līdzekļi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Šķērsenisko un garenisko starpsienu/barjeru augstums (B</w:t>
            </w:r>
            <w:r w:rsidR="00000000" w:rsidRPr="00000000" w:rsidDel="00000000">
              <w:rPr>
                <w:vertAlign w:val="subscript"/>
                <w:rtl w:val="0"/>
              </w:rPr>
              <w:t xml:space="preserve">h</w:t>
            </w:r>
            <w:r w:rsidR="00000000" w:rsidRPr="00000000" w:rsidDel="00000000">
              <w:rPr>
                <w:rtl w:val="0"/>
              </w:rPr>
              <w:t xml:space="preserve">) nedrīkst būt mazāks par 8 × h</w:t>
            </w:r>
            <w:r w:rsidR="00000000" w:rsidRPr="00000000" w:rsidDel="00000000">
              <w:rPr>
                <w:vertAlign w:val="subscript"/>
                <w:rtl w:val="0"/>
              </w:rPr>
              <w:t xml:space="preserve">w</w:t>
            </w:r>
            <w:r w:rsidR="00000000" w:rsidRPr="00000000" w:rsidDel="00000000">
              <w:rPr>
                <w:rtl w:val="0"/>
              </w:rPr>
              <w:t xml:space="preserve"> metriem, kur h</w:t>
            </w:r>
            <w:r w:rsidR="00000000" w:rsidRPr="00000000" w:rsidDel="00000000">
              <w:rPr>
                <w:vertAlign w:val="subscript"/>
                <w:rtl w:val="0"/>
              </w:rPr>
              <w:t xml:space="preserve">w</w:t>
            </w:r>
            <w:r w:rsidR="00000000" w:rsidRPr="00000000" w:rsidDel="00000000">
              <w:rPr>
                <w:rtl w:val="0"/>
              </w:rPr>
              <w:t xml:space="preserve"> ir uzkrātā ūdens līmeņa augstums, kas aprēķināts, ņemot vērā atlikušo brīvsānu un nozīmīgo viļņu augstumu (kā minēts šā pielikuma 2. un 4.punktā). Tomēr starpsienas/barjeras augstums nedrīkst būt mazāks par lielāko no šīm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2,2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augstumu starp starpsienu klāju un starpklāju vai piekārtā automobiļu klāja apakšējās sānmalas zemāko punktu, tam atrodoties nolaistā stāvoklī. Jāņem vērā, ka visas spraugas starp starpsienas augšējo malu un metāla apšuvuma apakšējo malu jānoblīvē šķērseniskā vai gareniskā virzienā (sk. 6.att.).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Starpsienas/barjeras, kuru augstums ir mazāks nekā iepriekš noteiktais, var akceptēt, ja modeļa testus veic saskaņā ar šā pielikuma II daļu, lai apstiprinātu, ka alternatīvā konstrukcija nodrošina pienācīgas ilgizturības prasības saskaņā ar SOLAS konvenciju. Nosaka tādu starpsienas/barjeras augstumu, kas ir pietiekams, lai novērstu progresīvu applūšanu noteiktajās stabilitātes robežās. Šīs stabilitātes robežas nedrīkst ietekmēt modeļa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Minētās robežas var samazināt līdz 10 grādiem, ja palielina attiecīgo laukumu zem līknes (kā minēts IMO MSC 64/22)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"A" attiecas uz pastāvīgām atverēm. Jāņem vērā, ka ūdensvārtu izvēle nav piemērota kuģiem, kam attiecīgo kritēriju izpildei ir vajadzīga visas virsbūves vai tās daļas peldspēja. Ūdensvārti ir jāaprīko ar slēdzamiem, neatgriezeniskiem vārstiem, kas novērš ūdens iekļūšanu, bet ļauj ūdenim izplūst. Šiem neatgriezeniskajiem vārstiem jādarbojas automātiski, un tie nedrīkst būtiski ierobežot ūdens noplūdi. Ievērojama efektivitātes samazināšanās ir jākompensē, ierīkojot papildu atveres, lai aptvertu vajadzīgo laukumu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ūdensvārtus uzskatītu par efektīviem, minimālajam attālumam no ūdensvārtu apakšējās malas līdz ūdenslīnijai pēc bojājumu gūšanas ir jābūt vismaz 1,0 m. Minimālā attāluma aprēķinā neņem vērā iespaidu, ko var radīt papildu ūdens uz klāja (sk. 7.att.)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Ūdensvārti jāierīko iespējami zemu sānu margsienā vai korpusa metāla apšuvumā. Ūdensvārtu atveres apakšmala nedrīkst atrasties augstāk par 2 cm virs starpsienu klāja, bet augšējā mala – ne augstāk par 0,6 m (sk. 8.att.).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Telpas, uz kurām attiecas noteikumu 1.pielikuma 2.5.apakšpunkts, t.i., telpas, kas aprīkotas ar ūdensvārtiem vai līdzīgām atverēm, nosakot nebojāta un bojāta kuģa stabilitātes līknes, neņem vērā kā neskartas telpas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Noteikto bojājuma apjomu piemēro visā kuģa garumā. Atkarībā no piemērotajām SOLAS konvencijas prasībām sadalījumam nodalījumos gūtais bojājums var neiespaidot nevienu starpsienu vai var iespaidot tikai starpsienu zem starpsienu klāja vai tikai starpsienu virs starpsienu klāja, vai starpsienas atšķirīgās kombinācijās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Visām šķērseniskajām un gareniskajām starpsienām/barjerām, kas aiztur iespējami sakrājušos ūdens daudzumu, ir jābūt nostiprinātām, kad kuģis atrodas jūrā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šķērseniskā starpsiena/barjera ir bojāta, uz klāja sakrātajam ūdenim abās bojātās starpsienas/barjeras pusēs jābūt vienā virsmas līmenī augstumā h</w:t>
            </w:r>
            <w:r w:rsidR="00000000" w:rsidRPr="00000000" w:rsidDel="00000000">
              <w:rPr>
                <w:vertAlign w:val="subscript"/>
                <w:rtl w:val="0"/>
              </w:rPr>
              <w:t xml:space="preserve">w</w:t>
            </w:r>
            <w:r w:rsidR="00000000" w:rsidRPr="00000000" w:rsidDel="00000000">
              <w:rPr>
                <w:rtl w:val="0"/>
              </w:rPr>
              <w:t xml:space="preserve"> (sk. 9.att.)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58769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115050" cy="5876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1.att. SOLAS konvencijā noteiktais bojājumu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86250" cy="25622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286250" cy="2562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atlikušais brīvsāns (f</w:t>
      </w:r>
      <w:r w:rsidR="00000000" w:rsidRPr="00000000" w:rsidDel="00000000">
        <w:rPr>
          <w:vertAlign w:val="subscript"/>
          <w:rtl w:val="0"/>
        </w:rPr>
        <w:t xml:space="preserve">r</w:t>
      </w:r>
      <w:r w:rsidR="00000000" w:rsidRPr="00000000" w:rsidDel="00000000">
        <w:rPr>
          <w:rtl w:val="0"/>
        </w:rPr>
        <w:t xml:space="preserve">) = 2,0 m, ūdens līmeņa augstums uz klāja (h</w:t>
      </w:r>
      <w:r w:rsidR="00000000" w:rsidRPr="00000000" w:rsidDel="00000000">
        <w:rPr>
          <w:vertAlign w:val="subscript"/>
          <w:rtl w:val="0"/>
        </w:rPr>
        <w:t xml:space="preserve">w</w:t>
      </w:r>
      <w:r w:rsidR="00000000" w:rsidRPr="00000000" w:rsidDel="00000000">
        <w:rPr>
          <w:rtl w:val="0"/>
        </w:rPr>
        <w:t xml:space="preserve">) = 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atlikušais brīvsāns (f</w:t>
      </w:r>
      <w:r w:rsidR="00000000" w:rsidRPr="00000000" w:rsidDel="00000000">
        <w:rPr>
          <w:vertAlign w:val="subscript"/>
          <w:rtl w:val="0"/>
        </w:rPr>
        <w:t xml:space="preserve">r</w:t>
      </w:r>
      <w:r w:rsidR="00000000" w:rsidRPr="00000000" w:rsidDel="00000000">
        <w:rPr>
          <w:rtl w:val="0"/>
        </w:rPr>
        <w:t xml:space="preserve">) w) = 0,5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86250" cy="215265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4286250" cy="2152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nozīmīgo viļņu augstums (h</w:t>
      </w:r>
      <w:r w:rsidR="00000000" w:rsidRPr="00000000" w:rsidDel="00000000">
        <w:rPr>
          <w:vertAlign w:val="subscript"/>
          <w:rtl w:val="0"/>
        </w:rPr>
        <w:t xml:space="preserve">s</w:t>
      </w:r>
      <w:r w:rsidR="00000000" w:rsidRPr="00000000" w:rsidDel="00000000">
        <w:rPr>
          <w:rtl w:val="0"/>
        </w:rPr>
        <w:t xml:space="preserve">) = 4,0 m, ūdens līmeņa augstumu uz klāja aprēķina, kā norādīts 3.attēlā.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nozīmīgo viļņu augstums (h</w:t>
      </w:r>
      <w:r w:rsidR="00000000" w:rsidRPr="00000000" w:rsidDel="00000000">
        <w:rPr>
          <w:vertAlign w:val="subscript"/>
          <w:rtl w:val="0"/>
        </w:rPr>
        <w:t xml:space="preserve">s</w:t>
      </w:r>
      <w:r w:rsidR="00000000" w:rsidRPr="00000000" w:rsidDel="00000000">
        <w:rPr>
          <w:rtl w:val="0"/>
        </w:rPr>
        <w:t xml:space="preserve">) w) = 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atlikušais brīvsāns (f</w:t>
      </w:r>
      <w:r w:rsidR="00000000" w:rsidRPr="00000000" w:rsidDel="00000000">
        <w:rPr>
          <w:vertAlign w:val="subscript"/>
          <w:rtl w:val="0"/>
        </w:rPr>
        <w:t xml:space="preserve">r</w:t>
      </w:r>
      <w:r w:rsidR="00000000" w:rsidRPr="00000000" w:rsidDel="00000000">
        <w:rPr>
          <w:rtl w:val="0"/>
        </w:rPr>
        <w:t xml:space="preserve">) = 1,15 m un nozīmīgo viļņu augstums (h</w:t>
      </w:r>
      <w:r w:rsidR="00000000" w:rsidRPr="00000000" w:rsidDel="00000000">
        <w:rPr>
          <w:vertAlign w:val="subscript"/>
          <w:rtl w:val="0"/>
        </w:rPr>
        <w:t xml:space="preserve">s</w:t>
      </w:r>
      <w:r w:rsidR="00000000" w:rsidRPr="00000000" w:rsidDel="00000000">
        <w:rPr>
          <w:rtl w:val="0"/>
        </w:rPr>
        <w:t xml:space="preserve">) = 2,75 m, ūdens līmeņa augstums (h</w:t>
      </w:r>
      <w:r w:rsidR="00000000" w:rsidRPr="00000000" w:rsidDel="00000000">
        <w:rPr>
          <w:vertAlign w:val="subscript"/>
          <w:rtl w:val="0"/>
        </w:rPr>
        <w:t xml:space="preserve">w</w:t>
      </w:r>
      <w:r w:rsidR="00000000" w:rsidRPr="00000000" w:rsidDel="00000000">
        <w:rPr>
          <w:rtl w:val="0"/>
        </w:rPr>
        <w:t xml:space="preserve">) = 0,125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715000" cy="7581899"/>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715000" cy="758189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715000" cy="3771900"/>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5715000" cy="37719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3276600"/>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4762500" cy="3276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1.piemērs. Kuģis bez piekārtiem automobiļu klājiem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līmeņa augstums uz klāja = 0,25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Vajadzīgais barjeras minimālais augstums = 2,2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2.piemērs. Kuģis ar piekārtu klāju (barjeras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līmeņa augstums uz klāja = 0,25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Vajadzīgais barjeras minimālais augstums = 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847850"/>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4762500" cy="1847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attālums starp atlikušo brīvsānu un ūdensvārtiem =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781175"/>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4762500" cy="17811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2305050"/>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4762500" cy="23050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Klāja mala nav iegremdēta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943100"/>
            <wp:effectExtent t="0" b="0" r="0" l="0"/>
            <wp:docPr id="18" name="media/image18.JPG"/>
            <a:graphic>
              <a:graphicData uri="http://schemas.openxmlformats.org/drawingml/2006/picture">
                <pic:pic>
                  <pic:nvPicPr>
                    <pic:cNvPr id="18" name="media/image18.JPG"/>
                    <pic:cNvPicPr/>
                  </pic:nvPicPr>
                  <pic:blipFill>
                    <a:blip r:embed="rId18"/>
                    <a:srcRect/>
                    <a:stretch>
                      <a:fillRect/>
                    </a:stretch>
                  </pic:blipFill>
                  <pic:spPr>
                    <a:xfrm>
                      <a:ext cx="4762500" cy="1943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Klāja mala ir iegremdēta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Modeļa testēšana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Šo vadlīniju nolūks ir nodrošināt to paņēmienu vienotību, ko izmanto modeļa būvē un pārbaudē, kā arī modeļu testu veikšanā un rezultātu analīzē. Noteikumu 1.pielikuma 2.1.apakšnodaļai "Mērķi" nav noteiktas vadlīnijas.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Kuģa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Materiāls, no kāda būvē modeli, nav svarīgs, ja vien modelis neskartā un bojātā stāvoklī ir pietiekami stiprs, tā hidrostatiskās īpašības ir tādas pašās kā reālajam kuģim un kuģa korpusa liece viļņos ir niecīga.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Ir svarīgi iespējami precīzi atveidot bojātos nodalījumus, lai varētu noteikt ieplūdušā ūdens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Tā kā ūdens iekļūšana (pat mazos apjomos) modeļa neskartajās daļās iespaido tā uzvedību, jāveic pasākumi, lai novērstu ūdens iekļūšanu.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Ir novērots, ka modeļu testēšanā, kas ietver sliktākos SOLAS konvencijā paredzētos bojājumus kuģa priekšgala un pakaļgala tuvumā, progresējošā applūdināšana nav iespējama, jo ūdens sakrājas uz klāja netālu no bojājumu atveres un izplūst ārā. Šādi modeļi ir spējīgi izturēt ļoti sliktus atklātas jūras apstākļus, bet apgāžas, ja ir vieglāki SOLAS konvencijā paredzētie bojājumi, kas novirzīti no priekšgala un pakaļgala. Lai to novērstu, ievieš ± 35 % ierobežojumu.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Papildus metacentriskajam augstumam (turpmāk – GM) un brīvsāniem, kas ir svarīgi kritēriji pasažieru kuģu ilgizturībai, nozīmīgs faktors ir arī laukums zem atlikušās stabilitātes līknes. Izvēloties sliktākos SOLAS konvencijā paredzētos bojājumus, lai nodrošinātu atbilstību šā punkta prasībām, par sliktāko bojājumu uzskata to bojājumu, kas atbilst vismaz laukumam zem atlikušās stabilitātes līknes.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Tā kā mērogam ir būtiska ietekme modeļa uzvedībā testu laikā, ir svarīgi nodrošināt tā samazināšanu līdz minimumam. Modelim ir jābūt iespējami lielam, lai bojāto nodalījumu detaļas būtu vienkāršāk atveidot. Ieteicamais modeļa garums ir trīs metri vai atbilst mērogam 1 : 40, izvēloties lielāko.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Modelim jābūt iespējami plānam hipotētiskā bojājuma līmenī, lai varētu korekti fiksēt ieplūdušā ūdens daudzumu un tā smaguma centru. Korpusa biezums nedrīkst pārsniegt 4 mm. Tā kā ir sarežģīti uzbūvēt modeļa korpusu, kā arī primārā un sekundārā sadalījuma elementus bojājuma līmenī ar pietiekami precīzām detaļām, šo konstrukcijas ierobežojumu dēļ var nebūt iespējams precīzi aprēķināt hipotētisko telpas caurlaidību.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Modeļa vertikālais apjoms var iespaidot rezultātus, veicot dinamiskos testus, tādēļ kuģa modeli būvē vismaz trīs virsbūves standarta augstumos virs starpsienas (brīvsānu) klāja, lai lielie viļņi no viļņu virknes modeli nesalauztu.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Iegrimes pārbauda neskartā stāvoklī un precīzi nomēra arī bojāta modeļa iegrimes, lai samērotu ar tām, kas iegūtas, aprēķinot stabilitāti pēc bojājumu gūšanas. Pielaidei jābūt + 2 mm katrai apstiprinātajai iegrimei. Pēc bojāta modeļa iegrimes mērījumiem var būt nepieciešams pielāgot bojātā nodalījuma caurlaidību, ieviešot neskartus apjomus vai papildinot svaru. Ir svarīgi precīzi modelēt ieplūdušā ūdens smaguma centru. Šādā gadījumā visi pielāgojumi jāveic, ievērojot pienācīgās drošības prasības saskaņā ar SOLAS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modelis jāaprīko ar barjerām uz klāja un šo barjeru augstums ir mazāks par norādīto starpsienas augstumu, modelis ir jāaprīko ar videonovērošanas kameru sistēmu (VNKS), lai varētu novērot jebkādu šļakstīšanos un ūdens uzkrāšanos uz klāja nebojātās daļas. Šajā gadījumā testa protokola daļu veido testa videoieraksts. Šķērsenisko vai garenisko starpsienu necaurlaidībai, ko pieņem par efektīvu, lai noturētu bojātā ro-ro klāja attiecīgajā nodalījumā potenciāli sakrājušos jūras ūdeni, ir jābūt vismaz 4 m augstai, ja ūdens augstums ir mazāks par 0,5 m. Tādos gadījumos šķērssienas augstumu var aprēķināt,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Bh = 8hw,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Bh – starpsienas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hw – ūdens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gadījumā minimālais šķērssienas augstums nedrīkst būt mazāks par 2,2 m. Kuģiem ar piekaramo automobiļu klāju minimālais starpsienas augstums nedrīkst būt mazāks par piekaramā klāja apakšējo sānmalu augstumu, šiem klājiem atrodoties nolaistā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Lai nodrošinātu, ka modeļa kustības ir tādas pašas kā reālajam kuģim, modeli sasver un zvalsta nebojātā stāvoklī, lai pārbaudītu nebojāta kuģa GM un masas sadalījumu. Reālā kuģa masas inerces rādiusam šķērsvirzienā jābūt no 0,35 B līdz 0,4 B, un masas inerces rādiusam garenvirzienā jābūt no 0,2 L līdz 0,25 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Lai gan modeļa sasvēršana un zvalstīšana bojātā stāvoklī var būt pieņemama kā atlikušās stabilitātes līknes pārbaude, šādi testi nevar aizvietot nebojāta modeļa testus.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Pieņem, ka ventilatori, kas ierīkoti reālā kuģa bojātajā nodalījumā, ļauj ūdenim netraucēti ieplūst un brīvi kustēties. Mēģinot samazināt reālā kuģa ventilācijas sistēmas mērogu, modelī var radīt nevēlamu mēroga ietekmi. Lai to novērstu, ieteicams ventilācijas sistēmu būvēt atbilstoši lielākam mērogam nekā modeļa mērogs, nodrošinot, ka tas neiespaido ūdens plūsmu uz automobiļu klāja.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Tiek uzskatīts, ka raksturīga bojājumu forma atbilst tā kuģa priekšgala šķērsgriezumam, kas radījis bojājumu. 15° šķērsgriezuma leņķis ir pamatots ar šķērsgriezuma pētījumiem B/5 attālumā no priekšgala dažādu tipu un izmēru kuģiem. Prizmatiskas bojājumu formas vienādsānu trijstūrveida profils atbilst kravas ūdenslīnijai. Ja ir ierīkotas sānu šahtas, kuru platums ir mazāks par B/5, lai novērstu iespējamu mēroga ietekmi, bojājuma garums sānu šahtu līmenī nedrīkst būt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Oriģinālajā modeļa testēšanas metodē, kas tika pieņemta ar 14.rezolūciju 1995.gada SOLAS konvencijas konferencē, sānsveres efekts, ko izraisījusi pasažieru drūzmēšanās, glābšanas līdzekļu nolaišana, vējš un kuģa pagrieziens, netika ņemts vērā, kaut arī šis efekts ir daļa no SOLAS konvencijas. Izpētes rezultāti liecina, ka šis efekts būtu jāievēro, pieņemot minimālo 1° sānsveri uz bojājumu pusi. Pagrieziena sānsvere netiek ņemta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ir starpība starp GM faktiskajos slodzes stāvokļos salīdzinājumā ar SOLAS konvencijā noteikto GM ierobežojošo līkni, Latvijas Jūras administrācija var pieņemt, ka šī starpība rada neprecizitāti modeļa testā. Tādos gadījumos GM ierobežojošo līkni koriģē. Koriģēšanu var veikt,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dS – 0,6(dS – dLS),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dS – dalījuma iegrime;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dLS – kuģa iegrime bez ieplūdušā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Koriģētā līkne ir taisna līnija starp modeļa testā lietoto GM ar dalījuma iegrimi un starp SOLAS konvencijā noteiktās līknes krustošanās punktu ar iegrimi 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 Izmēģinājumu process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Viļņu spektrs: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izmanto </w:t>
      </w:r>
      <w:r w:rsidR="00000000" w:rsidRPr="00000000" w:rsidDel="00000000">
        <w:rPr>
          <w:i w:val="1"/>
          <w:rtl w:val="0"/>
        </w:rPr>
        <w:t xml:space="preserve">JONSWAP</w:t>
      </w:r>
      <w:r w:rsidR="00000000" w:rsidRPr="00000000" w:rsidDel="00000000">
        <w:rPr>
          <w:rtl w:val="0"/>
        </w:rPr>
        <w:t xml:space="preserve"> spektru, jo tas raksturo viļņa ieskrējiena un ilguma ierobežotus jūras apstākļus, kas atbilst vairumam apstākļu visā pasaulē. Svarīgi pārbaudīt ne tikai viļņu virknes maksimālo periodu, bet arī to, vai nulles līmeņa šķērsošanas periods ir pareizs;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katrā testa izmēģinājumā reģistrē un dokumentē viļņu spektru. Mērījumus veic modeļa tiešā tuvumā, vistuvāk viļņu radīšanas ierīcei.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Modeli aprīko ar instrumentiem tā, lai tā kustības (zvalstīšanos, vertikālo un garenisko šūpošanos) un tā stāvokli (sānsveri, iegrimes izmaiņas un galsveri) varētu pārraudzīt un reģistrēt visā testa laikā. Tā kā nav iespējams noteikt absolūtos ierobežojumus nozīmīgo viļņu augstumiem, viļņu maksimālajiem periodiem un nulles līmeņa šķērsošanas periodiem, iestrādā pieņemamo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Lai novērstu stiprināšanas iekārtas mijiedarbību ar kuģa dinamiku, vilkšanas iekārtai, kam ir piestiprināta stiprināšanas iekārta, jāseko modelim tā faktiskajā pārvietošanās ātrumā. Ja viļņošanās ir neregulāra, pārvietošanās ātrums nebūs konstants. Konstanta vilkšanas iekārtas ātruma rezultāts būs zema frekvence un liela pārvietošanās svārstību amplitūda, kas var ietekmēt modeļa uzvedību.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Lai garantētu statistisko ticamību, ir nepieciešams noteikts testu skaits dažādās viļņu virknēs. Pieņemamu ticamības līmeni nodrošina vismaz 10 mēģinājumi.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2.4. Ilgizturības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Noteikumu 1.pielikuma 2.4.apakšnodaļai "Ilgizturības kritēriji" vadlīnijas nav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 Testa apstiprināšana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Latvijas Jūras administrācijai iesniedzamā ziņojuma daļu veido šādi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avārijas stabilitātes aprēķini SOLAS konvencijā noteikto kuģa vidusdaļas bojājumu un vissliktāko bojājumu gadījumā (ja tie ir atšķirīgi);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modeļa vispārējā izvietojuma rasējums ar konstrukcijas un aprīkojuma ar instrumentiem un detaļām;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sānsveres izmēģinājumu un masas inerces rādiusa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nominālais un izmērītais viļņu spektrs (trijās dažādās vietās raksturīgai izpratnei un testiem ar modeli no parauga, kas ir vistuvāk viļņu radītājam);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modeļa uzvedības, izturēšanās un pārvietošanās reprezentatīvs pārskats;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attiecīgie videoieraksti.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Visus testus apliecina Latvijas Jūras administrācijas pārstāvji.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JP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noteikumu_konsolidētā_versija_p2_24-TA-1389.docx</dc:title>
</cp:coreProperties>
</file>

<file path=docProps/custom.xml><?xml version="1.0" encoding="utf-8"?>
<Properties xmlns="http://schemas.openxmlformats.org/officeDocument/2006/custom-properties" xmlns:vt="http://schemas.openxmlformats.org/officeDocument/2006/docPropsVTypes"/>
</file>