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oktobrī (prot. Nr. 52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Ierobežoto radiofrekvenču joslu noteikumi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Elektronisko sakaru likuma 45.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ierobežotas radiofrekvenču joslas.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Radiofrekvenču spektra joslu lietošanas tiesību piešķiršana un izmantošana elektronisko sakaru nozarē tiek ierobežota šādās joslās: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450,0–457,5 MHz/460,0–467,5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703,0–733,0 MHz/738,0–788,0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791,0–821,0 MHz/832,0–862,0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880,0–890,0 MHz/925,0–935,0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890,0–915,0 MHz/935,0–960,0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1432,0–1472,0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1492,0–1512,0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1710,0–1785,0 MHz/1805,0–1880,0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1900,0–1920,0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1920,0–1980,0 MHz/2110,0–2170,0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2300,0–2370,0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2500,0–2690,0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3400,0–3600,0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3600,0–3800,0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10,15–10,3 GHz/10,5–10,65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24,773–25,445 GHz/25,781–26,453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25,1–27,5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28,0525–28,4445 GHz/29,0605–29,4525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31,815–32,347 GHz/32,627–33,159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40,5–43,5 GHz.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2.16.</w:t>
      </w:r>
      <w:r w:rsidR="00000000" w:rsidRPr="00000000" w:rsidDel="00000000">
        <w:rPr>
          <w:rtl w:val="0"/>
        </w:rPr>
        <w:t xml:space="preserve"> apakšpunkts zaudē spēku 2023. gada 31. decembrī.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2.17.</w:t>
      </w:r>
      <w:r w:rsidR="00000000" w:rsidRPr="00000000" w:rsidDel="00000000">
        <w:rPr>
          <w:rtl w:val="0"/>
        </w:rPr>
        <w:t xml:space="preserve"> apakšpunkts stājas spēkā 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22-TA-2225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22-TA-2225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noteikumu_projekts_22-TA-2225.docx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