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416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 jūlijā (prot. Nr. 27 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14. jūnija noteikumos Nr. 349 "Noteikumi par aizdevumu programmu pret Ukrainu vērstās Krievijas militārās agresijas radīto ekonomisko seku mazināšanai"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un </w:t>
      </w:r>
      <w:r w:rsidR="00000000" w:rsidRPr="00000000" w:rsidDel="00000000">
        <w:rPr>
          <w:rStyle w:val="paragraph"/>
          <w:i w:val="1"/>
          <w:rtl w:val="0"/>
        </w:rPr>
        <w:t xml:space="preserve">Pret Ukrainu vērstās Krievijas militārās agresijas dēļ piemēroto sankciju un pretpasākumu izraisīto ekonomisko seku pārvarēšanas atbalsta likuma</w:t>
      </w:r>
      <w:r w:rsidR="00000000" w:rsidRPr="00000000" w:rsidDel="00000000">
        <w:rPr>
          <w:rStyle w:val="paragraph"/>
          <w:i w:val="1"/>
          <w:rtl w:val="0"/>
        </w:rPr>
        <w:t xml:space="preserve"> 4.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14. jūnija noteikumos Nr. 349 "Noteikumi par aizdevumu programmu pret Ukrainu vērstās Krievijas militārās agresijas radīto ekonomisko seku mazināšanai" (Latvijas Vēstnesis, 2022, 120., 216., 248. nr.; 2023, 121., 214.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"6.2.1. Eiropas Komisijas 2023. gada 13. decembra Regulu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Aizdevumu procentu likmi atbilstoši šo noteikumu 6.1. apakšpunktam sniegtajam finansējumam nosaka, ņemot vērā šo noteikumu 1. pielikumā minētos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Komisijas regulas Nr. 2023/28311. panta 1. punktā  noteiktajām nozarēm un darbībām, ja aizdevumu piešķir saskaņā ar Komisijas regulu Nr.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Ja saimnieciskās darbības veicējs, kuram aizdevumu piešķir saskaņā ar Komisijas regulu Nr. 2023/2831, Komisijas regulu Nr. 1408/2013 vai Komisijas regulu Nr. 717/2014, vienlaikus darbojas gan vienā vai vairākās atbalstāmajās nozarēs, gan izslēgtajās nozarēs, tad:</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 saņemot aizdevumu saskaņā ar Komisijas regulu Nr. 2023/2831, tas nodrošina nozaru darbību vai uzskaites nodalīšanu atbilstoši Komisijas regulas Nr. 2023/2831 1. panta 2. punktam, lai darbības neatbalstāmajās nozarēs negūtu labumu no piešķirtā </w:t>
      </w:r>
      <w:r w:rsidR="00000000" w:rsidRPr="00000000" w:rsidDel="00000000">
        <w:rPr>
          <w:i w:val="1"/>
          <w:rtl w:val="0"/>
        </w:rPr>
        <w:t xml:space="preserve">de minimis</w:t>
      </w:r>
      <w:r w:rsidR="00000000" w:rsidRPr="00000000" w:rsidDel="00000000">
        <w:rPr>
          <w:rtl w:val="0"/>
        </w:rPr>
        <w:t xml:space="preserve"> atbalsta;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 saņemot aizdevumu saskaņā ar Komisijas regulu Nr. 1408/2013, tas nodrošina darbību vai izmaksu nodalīšanu atbilstoši Komisijas regulas Nr. 1408/2013 1. panta 2. un 3.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 saņemot aizdevumu saskaņā ar Komisijas regulu Nr. 717/2014, tas nodrošina darbību vai izmaksu nodalīšanu atbilstoši Komisijas regulas Nr. 717/2014 1. panta 2. un 3.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Aizdevumu saskaņā ar Komisijas regulu Nr. 2023/2831, Komisijas regulu Nr. 1408/2013 vai Komisijas regulu Nr. 717/2014 nepiešķir grūtībās nonākušam saimnieciskās darbības veicējam, kuram ir ierosināta tiesiskās aizsardzības procesa lieta, tiek īstenots tiesiskās aizsardzības process vai pasludināts maksātnespējas process, vai tas atbilst normatīvajos aktos noteiktiem kritērijiem, lai tam pēc kreditora pieprasījuma piemērotu maksātnespējas procedūru."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Ja atbalstu sniedz atbilstoši šo noteikumu 6.2. apakšpunktam, subsīdijas ekvivalentu saimnieciskās darbības veicējam sniegtajam atbalstam aprēķina, faktiski piemēroto procentu summu atskaitot no procentu summas, kas jāmaksā saskaņā ar Eiropas Komisijas konkrētajam periodam noteikto bāzes likmi, kā arī riska likmi (bāzes un risku likmes publicētas Eiropas Komisijas Konkurences ģenerāldirektorāta tīmekļvietnē), ņemot vērā šo noteikumu 2. pielikumā minētos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Piešķirot </w:t>
      </w:r>
      <w:r w:rsidR="00000000" w:rsidRPr="00000000" w:rsidDel="00000000">
        <w:rPr>
          <w:i w:val="1"/>
          <w:rtl w:val="0"/>
        </w:rPr>
        <w:t xml:space="preserve">de minimis</w:t>
      </w:r>
      <w:r w:rsidR="00000000" w:rsidRPr="00000000" w:rsidDel="00000000">
        <w:rPr>
          <w:rtl w:val="0"/>
        </w:rPr>
        <w:t xml:space="preserve"> atbalstu,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2023/2831 3. panta 2. punktā noteikto maksimālo </w:t>
      </w:r>
      <w:r w:rsidR="00000000" w:rsidRPr="00000000" w:rsidDel="00000000">
        <w:rPr>
          <w:i w:val="1"/>
          <w:rtl w:val="0"/>
        </w:rPr>
        <w:t xml:space="preserve">de minimis</w:t>
      </w:r>
      <w:r w:rsidR="00000000" w:rsidRPr="00000000" w:rsidDel="00000000">
        <w:rPr>
          <w:rtl w:val="0"/>
        </w:rPr>
        <w:t xml:space="preserve"> atbalsta apmēru. Ja </w:t>
      </w:r>
      <w:r w:rsidR="00000000" w:rsidRPr="00000000" w:rsidDel="00000000">
        <w:rPr>
          <w:i w:val="1"/>
          <w:rtl w:val="0"/>
        </w:rPr>
        <w:t xml:space="preserve">de minimis</w:t>
      </w:r>
      <w:r w:rsidR="00000000" w:rsidRPr="00000000" w:rsidDel="00000000">
        <w:rPr>
          <w:rtl w:val="0"/>
        </w:rPr>
        <w:t xml:space="preserve"> atbalstu piešķir lielajam uzņēmumam, atbalsta saņēmējam jābūt situācijā, kas pielīdzināma vismaz "B–" kredītreitingam."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Piešķirot </w:t>
      </w:r>
      <w:r w:rsidR="00000000" w:rsidRPr="00000000" w:rsidDel="00000000">
        <w:rPr>
          <w:i w:val="1"/>
          <w:rtl w:val="0"/>
        </w:rPr>
        <w:t xml:space="preserve">de minimis</w:t>
      </w:r>
      <w:r w:rsidR="00000000" w:rsidRPr="00000000" w:rsidDel="00000000">
        <w:rPr>
          <w:rtl w:val="0"/>
        </w:rPr>
        <w:t xml:space="preserve"> atbalstu, pārbauda, vai viena vienota uzņēmuma līmenī atbalsts nepalielina attiecīgajā fiskālajā gadā, kā arī iepriekšējos divos fiskālajos gados saņemtā </w:t>
      </w:r>
      <w:r w:rsidR="00000000" w:rsidRPr="00000000" w:rsidDel="00000000">
        <w:rPr>
          <w:i w:val="1"/>
          <w:rtl w:val="0"/>
        </w:rPr>
        <w:t xml:space="preserve">de minimis</w:t>
      </w:r>
      <w:r w:rsidR="00000000" w:rsidRPr="00000000" w:rsidDel="00000000">
        <w:rPr>
          <w:rtl w:val="0"/>
        </w:rPr>
        <w:t xml:space="preserve"> atbalsta kopējo apmēru līdz līmenim, kas pārsniedz Komisijas regulas Nr. 1408/2013 3. panta 3.a punktā vai Komisijas regulas Nr.717/2014 3. panta 2. un 3.punktā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Šo noteikumu izpratnē viens vienots uzņēmums ir uzņēmums, kas atbilst Komisijas regulas Nr. 2023/28312. panta 2. punktā, Komisijas regulas Nr. 1408/2013 2. panta 2. punktā vai Komisijas regulas Nr. 717/2014 2. panta 2. punktā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Ja tiek pārkāpti Komisijas regulas Nr. 2023/2831, Komisijas regulas Nr. 1408/2013 vai Komisijas regulas Nr. 717/2014 nosacījumi, atbalsta saņēmējam ir pienākums atmaksāt sabiedrībai "Altum" projekta ietvaros saņemto nelikumīgo </w:t>
      </w:r>
      <w:r w:rsidR="00000000" w:rsidRPr="00000000" w:rsidDel="00000000">
        <w:rPr>
          <w:i w:val="1"/>
          <w:rtl w:val="0"/>
        </w:rPr>
        <w:t xml:space="preserve">de minimis</w:t>
      </w:r>
      <w:r w:rsidR="00000000" w:rsidRPr="00000000" w:rsidDel="00000000">
        <w:rPr>
          <w:rtl w:val="0"/>
        </w:rPr>
        <w:t xml:space="preserve"> atbalstu atbilstoši šo noteikumu 6.2. apakšpunktam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Ievērojot Komisijas regulas Nr. 2023/28315. pantā, Komisijas regulas Nr. 1408/2013 5. pantā un Komisijas regulas Nr. 717/2014 5. pantā minētos nosacījumus, atbilstoši šo noteikumu 6.2. apakšpunktam piešķirto </w:t>
      </w:r>
      <w:r w:rsidR="00000000" w:rsidRPr="00000000" w:rsidDel="00000000">
        <w:rPr>
          <w:i w:val="1"/>
          <w:rtl w:val="0"/>
        </w:rPr>
        <w:t xml:space="preserve">de minimis</w:t>
      </w:r>
      <w:r w:rsidR="00000000" w:rsidRPr="00000000" w:rsidDel="00000000">
        <w:rPr>
          <w:rtl w:val="0"/>
        </w:rPr>
        <w:t xml:space="preserve"> atbalstu drīkst apvienot ar citu </w:t>
      </w:r>
      <w:r w:rsidR="00000000" w:rsidRPr="00000000" w:rsidDel="00000000">
        <w:rPr>
          <w:i w:val="1"/>
          <w:rtl w:val="0"/>
        </w:rPr>
        <w:t xml:space="preserve">de minimis</w:t>
      </w:r>
      <w:r w:rsidR="00000000" w:rsidRPr="00000000" w:rsidDel="00000000">
        <w:rPr>
          <w:rtl w:val="0"/>
        </w:rPr>
        <w:t xml:space="preserve"> atbalstu līdz šo noteikumu 25. punktā minētajam robežlielumam."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Atbalstu atbilstoši šo noteikumu 6.2. apakšpunktam piešķir līdz Komisijas regulas Nr. 2023/28317. panta 3. punktā un 8. pantā, Komisijas regulas Nr. 1408/2013 7. panta 4. punktā un 8. pantā vai Komisijas regulas Nr. 717/2014 7. panta 4.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2.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24-TA-94</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24-TA-94</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noteikumu_(grozījumu)_projekts_24-TA-94.docx</dc:title>
</cp:coreProperties>
</file>

<file path=docProps/custom.xml><?xml version="1.0" encoding="utf-8"?>
<Properties xmlns="http://schemas.openxmlformats.org/officeDocument/2006/custom-properties" xmlns:vt="http://schemas.openxmlformats.org/officeDocument/2006/docPropsVTypes"/>
</file>