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14.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349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Aizdevuma procentu likme</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0"/>
        <w:gridCol w:w="2917"/>
        <w:gridCol w:w="1975"/>
        <w:gridCol w:w="1846"/>
        <w:gridCol w:w="1700"/>
        <w:tblGridChange w:id="0">
          <w:tblGrid>
            <w:gridCol w:w="450"/>
            <w:gridCol w:w="2917"/>
            <w:gridCol w:w="1975"/>
            <w:gridCol w:w="1846"/>
            <w:gridCol w:w="170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Saimnieciskās darbības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1.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2.–3.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4.–6.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Sīkie (mikro), mazie un vidējie saimnieciskās darbības veicēji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bāzes punkti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Lielie saimnieciskās darbības veicēji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bāzes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Aizdevumiem, ko piešķir līdz 2022. gada 31. decembrim, procentu likmes zemāko robežu nosaka atbilstoši Eiropas Komisijas 2022. gada 1. februārī publicētajai bāzes likmei, savukārt aizdevumiem, ko piešķir no 2023. gada 1. janvāra līdz 2023. gada 31. decembrim, procentu likmes zemāko robežu nosaka atbilstoši Eiropas Komisijas 2022. gada 1. oktobrī publicētajai bāzes likmei, visos gadījumos pieskaitot tabulā norādītās kredītriska robežas atbilstoši saimnieciskās darbības veidam un aizdevuma termiņam.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Zemākā kopējā aizdevumu likme sīkajiem (mikro), mazajiem un vidējiem saimnieciskās darbības veicējiem 1.–3. aizdevuma gadā nevar būt mazāka par 10 bāzes punktiem."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24-TA-94</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24-TA-94</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noteikumu_(grozījumu)_projekts_p1_24-TA-94.docx</dc:title>
</cp:coreProperties>
</file>

<file path=docProps/custom.xml><?xml version="1.0" encoding="utf-8"?>
<Properties xmlns="http://schemas.openxmlformats.org/officeDocument/2006/custom-properties" xmlns:vt="http://schemas.openxmlformats.org/officeDocument/2006/docPropsVTypes"/>
</file>