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14.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349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Riska likmes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gridCol w:w="9491"/>
        <w:tblGridChange w:id="0">
          <w:tblGrid>
            <w:gridCol w:w="9491"/>
            <w:gridCol w:w="9491"/>
            <w:gridCol w:w="9491"/>
            <w:gridCol w:w="9491"/>
            <w:gridCol w:w="9491"/>
          </w:tblGrid>
        </w:tblGridChange>
      </w:tblGrid>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Aizdevuma rezerves bāzes punkti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Novērtējuma kategorija</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Nodrošinājums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Spēcīga (AAA-A)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 (BBB)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Apmierinoša (BB)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 (B)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Slikta vai finansiālās grūtības (CCC un zemāka)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Aizņēmējiem, kuriem nav kredītvēstures vai novērtējuma, kas pamatots ar bilanci (piemēram, īpašam nolūkam dibinātiem uzņēmumiem vai jaundibinātiem uzņēmumiem), riska likmi nosaka vismaz 400 bāzes punktu apmērā (atkarībā no pieejamā nodrošinājuma), un riska likme nevar būt zemāka par to, ko piemēro mātes uzņēmumam."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24-TA-94</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24-TA-94</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noteikumu_(grozījumu)_projekts_p2_24-TA-94.docx</dc:title>
</cp:coreProperties>
</file>

<file path=docProps/custom.xml><?xml version="1.0" encoding="utf-8"?>
<Properties xmlns="http://schemas.openxmlformats.org/officeDocument/2006/custom-properties" xmlns:vt="http://schemas.openxmlformats.org/officeDocument/2006/docPropsVTypes"/>
</file>