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Ceļu satiksmes likumā</w:t>
      </w:r>
      <w:r>
        <w:br/>
      </w:r>
      <w:r w:rsidR="00000000" w:rsidRPr="00000000" w:rsidDel="00000000">
        <w:rPr>
          <w:rStyle w:val="paragraph_header"/>
          <w:b w:val="1"/>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w:t>
      </w:r>
      <w:r w:rsidR="00000000" w:rsidRPr="00000000" w:rsidDel="00000000">
        <w:rPr>
          <w:rStyle w:val="paragraph"/>
          <w:rtl w:val="0"/>
        </w:rPr>
        <w:t xml:space="preserve">Ceļu satiksmes likumā</w:t>
      </w:r>
      <w:r w:rsidR="00000000" w:rsidRPr="00000000" w:rsidDel="00000000">
        <w:rPr>
          <w:rStyle w:val="paragraph"/>
          <w:rtl w:val="0"/>
        </w:rPr>
        <w:t xml:space="preserve"> (Latvijas Republikas Saeimas un Ministru Kabineta Ziņotājs, 1997, 22. nr.; 2000, 3., 14., 15. nr.; 2001, 6. nr.; 2003, 17. nr.; 2005, 13. nr.; 2006, 2. nr.; 2007, 3., 7., 21. nr.; 2008, 13. nr.; 2009, 1., 7., 14. nr.; Latvijas Vēstnesis, 2010, 86., 151. nr.; 2011, 46., 99., 201., 204. nr.; 2012, 41., 200. nr.; 2013, 243. nr.; 2014, 186., 228. nr.; 2015, 251. nr.; 2016, 241. nr.; 2017, 90., 113., 231. nr.; 2018, 84., 196. nr.; 2019, 91., 259.A nr.; 2021, 65.A, 121.B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ceļu satiksmes drošības ietekmes novērtējums </w:t>
      </w:r>
      <w:r w:rsidR="00000000" w:rsidRPr="00000000" w:rsidDel="00000000">
        <w:rPr>
          <w:rtl w:val="0"/>
        </w:rPr>
        <w:t xml:space="preserve">– stratēģiski salīdzinoša analīze, kā jauns ceļš vai būtiska esošā ceļu tīkla pārbūve ietekmēs ceļu tīkla drošības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10.</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b w:val="1"/>
          <w:rtl w:val="0"/>
        </w:rPr>
        <w:t xml:space="preserve">mazaizsargātais ceļu satiksmes dalībnieks </w:t>
      </w:r>
      <w:r w:rsidR="00000000" w:rsidRPr="00000000" w:rsidDel="00000000">
        <w:rPr>
          <w:rtl w:val="0"/>
        </w:rPr>
        <w:t xml:space="preserve">– gājējs, elektroskrejriteņa vadītājs vai velosipēda, mopēda, motocikla, kvadricikla, tricikla vadītājs vai pasažieris;".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piektās daļas pirmajā teikumā vārdus "Ceļu satiksmes drošības direkcija" ar vārdiem "Valsts akciju sabiedrība "Ceļu satiksmes drošības direkcija" (turpmāk –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sabiedrība ar ierobežotu atbildību "Latvijas Valsts ceļi" (turpmāk – Latvijas Valsts ceļi) uzrauga ceļu būvniecību un uzturēšanu satiksmei drošā stāvoklī atbilstoši normatīvajiem aktiem un standartiem ceļu satiksmes drošības jomā, veic ar ceļu satiksmi saistītu objektu būvprojektu saskaņošanu un uzrauga satiksmes organizāciju un satiksmes organizācijas tehnisko līdzekļu izvietojuma atbilstību Latvijā obligāti piemērojamo standartu un citu normatīvu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tīkla mēroga ceļu satiksmes drošības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veikt ceļu drošības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veikt ceļu satiksmes drošības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īstenojot ceļu drošības auditu, tīkla mēroga ceļu satiksmes drošības novērtējumu, ceļu drošības inspekciju un ceļu satiksmes drošības ietekmes novērtējumu, ņemt vērā mazaizsargāto ceļu satiksmes dalībnieku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tīkla mēroga ceļu satiksmes drošības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ceļu drošības inspekcijas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ceļu satiksmes drošības ietekmes novērtējuma veikšanas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 pants. Ceļu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tostarp inženierbūvju un dzelzceļa pārbrauktuvju, būvprojektiem jāatbilst spēkā esošajiem likumiem un citiem normatīvajiem aktiem un ceļu satiksmes drošības normatīviem. Projektu atbilstība minētajām prasībām jāapstiprina projektētājam. Projekti jāsaskaņo ar Latvijas Valsts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ekspluatācijā nododamu ceļu, tostarp inženierbūvi, saņemams Latvijas Valsts ceļu saskaņojums par to atbilstību normatīvajiem aktiem un standartiem ceļu satiksmes drošības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10. panta astotās daļas 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fiziskajai personai piederošu transportlīdzekli, identificējot personas datus, fiziskajai personai reģistrētiem pārkāpumu uzskaites punktiem, juridiskajai personai piederošu speciālo militāro transportlīdzekli un tā piekabi, kā arī speciālo militāro tehniku un tās piekabi ir ierobežotas pieejamības informācija, un to var iegūt tiesībaizsardzības iestādes, valsts un pašvaldību iestādes, citas likumā noteiktas personas, kā arī personas, kuras nosaka Ministru kabinets un kurām informācija nepieciešama darba vai dienesta funkciju veikšanai vai likumisko interešu aizstāvībai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daļā minētais informācijas saņēmējs ir atbildīgs par to, ka attiecīgā informācija tiek izmantota tikai viņa darba vai dienesta funkciju veikšanai vai likumisko interešu aizstāvībai, un nav tiesīgs to nodot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divpadsmitajā daļā vārdus "Autotransporta direkcija" ar vārdiem "Valsts sabiedrība ar ierobežotu atbildību "Autotransporta direkcija"".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22. panta pirmās daļas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kura ārstējusies no alkohola, narkotisko vai psihotropo vielu pārmērīgas, kaitējošas lietošanas vai atkarības, objektīvi pierādot vismaz vienu gadu stabilu remisiju, ko apliecina ārstējošā narkologa atzinums, ja transportlīdzekļa vadītājam, kurš sodīts par transportlīdzekļa vadīšanu alkohola reibumā vai narkotisko vai citu apreibinošo vielu ietekmē, narkologs pirmstermiņa veselības pārbaudē konstatē alkohola, narkotisko vai psihotropo vielu pārmērīgu, kaitējošu lietošanu vai atkarību, un transportlīdzekļa vadītājs vēlas atgūt transportlīdzekļu vadīšanas tiesības. Transportlīdzekļa vadītājs, kurš sodīts par transportlīdzekļa vadīšanu alkohola reibumā vai narkotisko vai citu apreibinošo vielu ietekmē un kuram pirmstermiņa veselības pārbaudē nekonstatē alkohola, narkotisko vai psihotropo vielu pārmērīgu, kaitējošu lietošanu vai atkarību, transportlīdzekļu vadīšanas tiesības var atgūt tikai pēc dalības uzvedības korekcijas programmā. Uzvedības korekcijas programmas grupu nodarbības nodrošina fiziskas vai juridiskas personas, kuras satiksmes ministra izveidotai organizētāju atlases komisijai ir apliecinājušas spēju un pieredzi vadīt nodarbības, nosakot maksu par nodarbību organizēšanu atbilstoši savai saimnieciskajai darbībai. Uzvedības korekcijas programmas organizēšanas un norises kārtību un apmācību saturu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38.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organizācijas tehniskos līdzekļus uzstāda un noņem atbilstoši būvprojektam. Ja būvprojekts nav nepieciešams, ceļa pārvaldītājs atļauju satiksmes organizācijas tehnisko līdzekļu uzstādīšanai un noņemšanai, izņemot minētās darbības uz valsts autoceļiem, saskaņo ar attiecīgo pašvaldību, ja pašvaldībā ir izveidota attiecīgā struktūra, visos citos gadījumos atļauju saskaņo ar Latvijas Valsts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Ceļa vai teritorijas pārvaldītājs ir atbildīgs par satiksmes organizācijas tehnisko līdzekļu savlaicīgu un noteiktajām prasībām atbilstošu uzstādīšanu un noņemšanu un pastāvīgu atrašanos lietošanas kārtībā, kā arī nodrošina, lai tie būtu salasāmi un pamanāmi gan transportlīdzekļa vadītājiem, gan transportlīdzekļiem, kas aprīkoti ar automatizētām transportlīdzekļa vadītāja palīgsistēmām."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45.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punktā vārdus "blakus caurlaidei novietojot" ar vārdiem "automobiļa salonā pie priekšējā stikla novietojot";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Šā panta otrajā daļā minētās caurlaides izsniedz saskaņā ar Ceļu satiksmes drošības direkcijas publisko maksas pakalpojumu cenrādi."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pārejas noteikumus ar 53.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Šā likuma grozījumi par 38. panta otrās daļas izteikšanu jaunā redakcijā un 45. panta papildināšanu ar 2.</w:t>
      </w:r>
      <w:r w:rsidR="00000000" w:rsidRPr="00000000" w:rsidDel="00000000">
        <w:rPr>
          <w:vertAlign w:val="superscript"/>
          <w:rtl w:val="0"/>
        </w:rPr>
        <w:t xml:space="preserve">3</w:t>
      </w:r>
      <w:r w:rsidR="00000000" w:rsidRPr="00000000" w:rsidDel="00000000">
        <w:rPr>
          <w:rtl w:val="0"/>
        </w:rPr>
        <w:t xml:space="preserve"> daļu  attiecībā uz subjektiem, kas minēti šā likuma 45. panta otrās daļas 2. punktā, stājas spēkā 2023.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informatīvo atsauci uz Eiropas Savienības direktīvām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Parlamenta un Padomes 2008. gada 19. novembra direktīvas 2008/96/EK par ceļu infrastruktūras drošības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Parlamenta un Padomes 2019. gada 23. oktobra direktīvas (ES) 2019/1936, ar ko groza direktīvu 2008/96/EK par ceļu infrastruktūras drošības pārvaldību."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21-TA-94</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21-TA-94</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likumprojekts_(grozījumi)_21-TA-94.docx</dc:title>
</cp:coreProperties>
</file>

<file path=docProps/custom.xml><?xml version="1.0" encoding="utf-8"?>
<Properties xmlns="http://schemas.openxmlformats.org/officeDocument/2006/custom-properties" xmlns:vt="http://schemas.openxmlformats.org/officeDocument/2006/docPropsVTypes"/>
</file>