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aprīlī (prot. Nr. 20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 februāra noteikumos Nr. 95 "Darbības programmas "Izaugsme un nodarbinātība" prioritārā virziena "Pasākumi Covid-19 pandēmijas seku mazināšanai" 13.1.4. specifiskā atbalsta mērķa "Atveseļošanas pasākumi kultūras jomā" trešās projektu iesniegumu atlases kārtas "Atbalsts kino industrijas uzņēmumiem, veicinot to profesionālo kapacitāti un izaugsmi"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 februāra noteikumos Nr. 95 "Darbības programmas "Izaugsme un nodarbinātība" prioritārā virziena "Pasākumi Covid-19 pandēmijas seku mazināšanai" 13.1.4. specifiskā atbalsta mērķa "Atveseļošanas pasākumi kultūras jomā" trešās projektu iesniegumu atlases kārtas "Atbalsts kino industrijas uzņēmumiem, veicinot to profesionālo kapacitāti un izaugsmi" īstenošanas noteikumi" (Latvijas Vēstnesis, 2022, 26.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iznākuma rādītājs: atbalstīto kultūras nozares organizāciju skaits – ne mazāk kā sešas kultūras organizācijas,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atbilstoši REACT-EU 2021. gada piešķīrumam atbalstīto kultūras nozares organizāciju skaits – ne mazāk kā piecas kultūras organizācijas;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atbilstoši plānotajam REACT-EU 2022. gada piešķīrumam atbalstīto kultūras nozares organizāciju skaits – vismaz viena kultūras organizācija;".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rezultāta rādītājs: attīstīti jauni pakalpojumi – ne mazāk kā seši pakalpojumi,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atbilstoši REACT-EU 2021. gada piešķīrumam attīstīti jauni pakalpojumi – ne mazāk kā pieci pakalpojumi;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atbilstoši REACT-EU 2022. gada piešķīrumam attīstīti jauni pakalpojumi – vismaz viens pakalpojums."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Specifiskā atbalsta trešās atlases kārtas ietvaros pieejamais kopējais attiecināmais finansējums ir ne mazāk kā 6 450 001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5 482 500 </w:t>
      </w:r>
      <w:r w:rsidR="00000000" w:rsidRPr="00000000" w:rsidDel="00000000">
        <w:rPr>
          <w:i w:val="1"/>
          <w:rtl w:val="0"/>
        </w:rPr>
        <w:t xml:space="preserve">euro</w:t>
      </w:r>
      <w:r w:rsidR="00000000" w:rsidRPr="00000000" w:rsidDel="00000000">
        <w:rPr>
          <w:rtl w:val="0"/>
        </w:rPr>
        <w:t xml:space="preserve"> un valsts budžeta finansējums – 967 501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atbilstoši plānotajam REACT-EU 2021. gada piešķīrumam kopējais attiecināmais finansējums ir 4 979 524 </w:t>
      </w:r>
      <w:r w:rsidR="00000000" w:rsidRPr="00000000" w:rsidDel="00000000">
        <w:rPr>
          <w:i w:val="1"/>
          <w:rtl w:val="0"/>
        </w:rPr>
        <w:t xml:space="preserve">euro</w:t>
      </w:r>
      <w:r w:rsidR="00000000" w:rsidRPr="00000000" w:rsidDel="00000000">
        <w:rPr>
          <w:rtl w:val="0"/>
        </w:rPr>
        <w:t xml:space="preserve">, tai skaitā Eiropas Reģionālās attīstības fonda finansējums 4 232 595 </w:t>
      </w:r>
      <w:r w:rsidR="00000000" w:rsidRPr="00000000" w:rsidDel="00000000">
        <w:rPr>
          <w:i w:val="1"/>
          <w:rtl w:val="0"/>
        </w:rPr>
        <w:t xml:space="preserve">euro </w:t>
      </w:r>
      <w:r w:rsidR="00000000" w:rsidRPr="00000000" w:rsidDel="00000000">
        <w:rPr>
          <w:rtl w:val="0"/>
        </w:rPr>
        <w:t xml:space="preserve">un valsts budžeta finansējums – 746 929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atbilstoši plānotajam REACT-EU 2022. gada piešķīrumam kopējais attiecināmais finansējums ir 1 470 477 </w:t>
      </w:r>
      <w:r w:rsidR="00000000" w:rsidRPr="00000000" w:rsidDel="00000000">
        <w:rPr>
          <w:i w:val="1"/>
          <w:rtl w:val="0"/>
        </w:rPr>
        <w:t xml:space="preserve">euro</w:t>
      </w:r>
      <w:r w:rsidR="00000000" w:rsidRPr="00000000" w:rsidDel="00000000">
        <w:rPr>
          <w:rtl w:val="0"/>
        </w:rPr>
        <w:t xml:space="preserve">, tai skaitā Eiropas Reģionālās attīstības fonda finansējums 1 249 905 </w:t>
      </w:r>
      <w:r w:rsidR="00000000" w:rsidRPr="00000000" w:rsidDel="00000000">
        <w:rPr>
          <w:i w:val="1"/>
          <w:rtl w:val="0"/>
        </w:rPr>
        <w:t xml:space="preserve">euro</w:t>
      </w:r>
      <w:r w:rsidR="00000000" w:rsidRPr="00000000" w:rsidDel="00000000">
        <w:rPr>
          <w:rtl w:val="0"/>
        </w:rPr>
        <w:t xml:space="preserve"> un valsts budžeta finansējums – 220 572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22-TA-965</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22-TA-965</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noteikumu_(grozījumu)_projekts_22-TA-965.docx</dc:title>
</cp:coreProperties>
</file>

<file path=docProps/custom.xml><?xml version="1.0" encoding="utf-8"?>
<Properties xmlns="http://schemas.openxmlformats.org/officeDocument/2006/custom-properties" xmlns:vt="http://schemas.openxmlformats.org/officeDocument/2006/docPropsVTypes"/>
</file>