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intensitāte (procentos no projekta attiecināmajiem izdevumiem)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772"/>
        <w:gridCol w:w="4251"/>
        <w:gridCol w:w="4251"/>
        <w:gridCol w:w="4251"/>
        <w:tblGridChange w:id="0">
          <w:tblGrid>
            <w:gridCol w:w="898"/>
            <w:gridCol w:w="3772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veids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(tostarp kooperatīvās sabiedrības) kopējais apgrozījums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4 000–70 000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70 001–350 000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350 000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Apakšpasākums "Atbalsts ieguldījumiem lauku saimniecībās"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atjaunošana, stacionāro iekārtu iegāde kopā ar būvniecību vai pārbūvi, ilggadīgo stādījumu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jaunajiem lauksaimniekiem par būvniecību, pārbūvi vai stacionāro iekārtu iegādi kopā ar būvniecību vai pārbūvi vai ilggadīgo stādījumu ierīkošanu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lopkopības nozarē, kurā audzē zālēdājus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projektu īsteno cūkkopības un putnkopības nozarē saskaņā ar šo noteikumu </w:t>
            </w:r>
            <w:r w:rsidR="00000000" w:rsidRPr="00000000" w:rsidDel="00000000">
              <w:rPr>
                <w:rtl w:val="0"/>
              </w:rPr>
              <w:t xml:space="preserve">35.</w:t>
            </w:r>
            <w:r w:rsidR="00000000" w:rsidRPr="00000000" w:rsidDel="00000000">
              <w:rPr>
                <w:rtl w:val="0"/>
              </w:rPr>
              <w:t xml:space="preserve">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energoefektivitātes mērķa izpildei (pēc projekta īstenošanas energoefektivitāte palielinās vismaz par 20 %, un to apliecina energoaudita atzinums)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ieguldījumiem bioloģiskajās lauku saimniecībās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projektu īsteno augļu, ogu, dārzeņu, augļu koku un ogulāju audzēšanas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pirmā lauksaimniecībā izmantojamā traktora iegāde, ja visi pārējie Eiropas Savienības finansētajā projektā iegādātie traktori ir vecāki par 10 gadiem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izmantojamie traktori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Specifiski paredzētie traktori augļu, ogu, dārzeņu, augļu koku un ogulāju audzēšanas nozarē (nepārsniedzot attiecināmo izmaksu apjomu 100 000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Piekabes, agregāti, traktortehnika (izņemot lauksaimniecībā izmantojamos traktorus), iekārtu un ražas novākšanas tehnikas iegāde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 bioloģiskajām saimniecībām par ieguldījumiem saskaņā ar šā pielikuma 5.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intensitāte, ja šā pielikuma 2., 3. un 5. punktā minētās pozīcijas aprīkotas atbilstoši 2. pielikumā noteiktajām prasībām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stacionāro iekārtu iegāde kopā ar būvniecību vai pārbūvi un specializētā transporta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Piekabju, agregātu, traktortehnikas (izņemot lauksaimniecībā izmantojamus traktorus) un iekārtu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mitrzemju izveidei barības vielu noteces mazināšanai, kā arī laistīšanas sistēmām, pretsalnas un pretkrusas sistēmām dārzkopībā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krātuves būvniecība vai pārbūve (pierādīts emisijas samazinājums atbilstoši kalkulatoram) saskaņā ar šo noteikumu </w:t>
            </w:r>
            <w:r w:rsidR="00000000" w:rsidRPr="00000000" w:rsidDel="00000000">
              <w:rPr>
                <w:rtl w:val="0"/>
              </w:rPr>
              <w:t xml:space="preserve">74.9.3.</w:t>
            </w:r>
            <w:r w:rsidR="00000000" w:rsidRPr="00000000" w:rsidDel="00000000">
              <w:rPr>
                <w:rtl w:val="0"/>
              </w:rPr>
              <w:t xml:space="preserve"> apakšpunktu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Ilggadīgo stādījumu ierīkošanai vēsturiski izmantoto kūdras ieguvju rekultivācijai, tostarp organiskajās augsnēs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Apakšpasākums "Atbalsts ieguldījumiem pārstrādē"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 iekārtas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pārstrādes saimnieciskās darbības veicējam, kas ražo pārtikas kvalitātes shēmas produktu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atbalsta pretendents ražo vismaz piecus pārtikas produktus, kas atbilst ieteicamo pārtikas produktu izvēles kritērijiem (saskaņā ar šo noteikumu </w:t>
            </w:r>
            <w:r w:rsidR="00000000" w:rsidRPr="00000000" w:rsidDel="00000000">
              <w:rPr>
                <w:rtl w:val="0"/>
              </w:rPr>
              <w:t xml:space="preserve">15.</w:t>
            </w:r>
            <w:r w:rsidR="00000000" w:rsidRPr="00000000" w:rsidDel="00000000">
              <w:rPr>
                <w:rtl w:val="0"/>
              </w:rPr>
              <w:t xml:space="preserve"> pielikumu)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saimnieciskās darbības veicēja restrukturizācijai, ja to skāruši citu valstu noteiktie importa ierobežojumi (eksports uz konkrēto valsti veidojis vismaz 10 %)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šo noteikumu </w:t>
            </w:r>
            <w:r w:rsidR="00000000" w:rsidRPr="00000000" w:rsidDel="00000000">
              <w:rPr>
                <w:rtl w:val="0"/>
              </w:rPr>
              <w:t xml:space="preserve">12.4.</w:t>
            </w:r>
            <w:r w:rsidR="00000000" w:rsidRPr="00000000" w:rsidDel="00000000">
              <w:rPr>
                <w:rtl w:val="0"/>
              </w:rPr>
              <w:t xml:space="preserve"> apakšpunktā minētā mērķa sasniegšanai (pēc projekta īstenošanas energoefektivitāte palielinās vismaz par 20 %)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līdz ar projekta īstenošanu tiek ieviesta inovācija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ja, īstenojot projektu, pārstrādei (tostarp kooperatīvajām sabiedrībām vai kooperatīvo sabiedrību apvienībām, vai jaunām kooperatīvajām sabiedrībām iepērkot no biedriem) vismaz 80 % apmērā tiek izmantota vietējā izejviela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Ražotājiem, kas ražo mājas apstākļos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Apakšpasākums "Atbalsts ieguldījumiem lauksaimniecības un mežsaimniecības infrastruktūras attīstībā"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meliorācijas sistēmas un hidrotehniskās būves pārbūve un atjaunošana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 un atjaunošana valsts nozīmes sistēmās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Laukumi, pievedceļi u. tml. infrastruktūra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Maksimālā atbalsta intensitāte apakšpasākumā nepārsniedz 50 % vai 60 % būvniecībai, ja projektu īsteno jaunie lauksaimnieki vai īsteno apgabalā, kurā ir dabas un citi specifiski ierobežojumi, bet tehnikai un iekārtām – 50 %, izņemot specifiskos gadījumus, kad atbalsta intensitāte tiek noteikta 70 % apmērā atbilstoši 11. pielikuma 9., 10. un 11.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Jaunajiem lauksaimniekiem papildu atbalsta intensitāte tiek piemērota piecu gadu laikā kopš saimniecības dibināšanas (pārņemšanas) brīža.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Atbalsta intensitāte valsts zinātniskajām institūcijām un atvasinātām publiskām personām ir 50 %.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Maksimālā atbalsta intensitāte apakšpasākumā nepārsniedz 50 %.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Papildu intensitāti piemēro projektiem, kuros paredzēta videi draudzīgu meliorācijas objektu (piemēram, sedimentācijas baseinu, meandru vai mitrāju) izveide saskaņā ar normatīvajiem aktiem par hidrotehnisko un meliorācijas būvju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Netiek piemērota lielāka atbalsta intensitāte.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Saimnieciskās darbības veicējam ar apgrozījumu līdz 200 000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