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pasākumā "Ieguldījumi materiālajos aktīvos", ja kooperatīvās sabiedrības (arī jaunās kooperatīvās sabiedrības un kooperatīvo sabiedrību apvienības) pretendē uz atbalstu šo noteikumu 1. punktā minētajos apakšpasākumos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preču un pakalpojumu apgrozījuma ar biedriem pret piešķirto publisko finansējumu LAP 2014–2020 apakšpasākumos "Atbalsts ieguldījumiem lauku saimniecībās" un "Atbalsts ieguldījumiem pārstrādē" un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Apgrozījums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starp kooperatīvo sabiedrību un tās biedriem procentos no kooperatīvās sabiedrības lauksaimniecības preču un pakalpojumu kopējā apgrozījuma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par katru pilnu procentu, kas pārsniedz 75 % no kopējā apgrozījuma apmēra, piešķir 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iekļauts bioloģiskās lauksaimniecības kontroles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sertificēta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Kooperatīvās sabiedrības apgrozījums starp sabiedrību un sabiedrības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nepārsniedz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saņēmējs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25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preču un pakalpojumu apgrozījuma ar biedriem pēdējos divos noslēgtajos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 LAP 2014–2020 apakšpasākumā "Atbalsts ieguldījumiem lauku saimniecībās" un "Atbalsts ieguldījumiem pārstrādē".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noteikumu_konsolidētā_versija_p7_22-TA-209.docx</dc:title>
</cp:coreProperties>
</file>

<file path=docProps/custom.xml><?xml version="1.0" encoding="utf-8"?>
<Properties xmlns="http://schemas.openxmlformats.org/officeDocument/2006/custom-properties" xmlns:vt="http://schemas.openxmlformats.org/officeDocument/2006/docPropsVTypes"/>
</file>