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Finanšu ministrijas pārziņā esošo Eiropas Savienības fondu un ārvalstu finanšu palīdzības aktualitātēm līdz 2022. gada 1. septembrim (pusgada ziņojums)"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informatīvā ziņojuma 2.1. apakšpunktā sniegto informāciju, atļaut Centrālajai finanšu un līgumu aģentūrai nesamazināt Eiropas Savienības fondu un valsts budžeta līdzfinansējumu un pagarināt projektu īstenošanas termiņus ilgāk par sešiem mēnešiem projektiem, kas iekļauti informatīvā ziņojuma 1. pielikumā un 2. pielikumā, ņemot vērā informatīvā ziņojuma otrajā sadaļā sniegto informāciju un 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 7. apakšpunktu.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informatīvā ziņojuma 2.2. apakšpunktā sniegto informāciju par projekta turpināšanas lietderību, atbalstīt valsts akciju sabiedrības “Valsts nekustamie īpašumi” projekta Nr. 4.2.1.2/18/I/055 “Energoefektivitātes paaugstināšana ēkā A. Briāna ielā 13, Rīgā” īstenošanas turpināšanu.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informatīvā ziņojuma 2.2. apakšpunktā sniegto informāciju, lai nodrošinātu nepieciešamo papildu finansējumu pārtikas un pamata materiālās palīdzības nodrošināšanai Labklājības ministrijas administrētās Eiropas Atbalsta fonda vistrūcīgākajām personām darbības programmas “Pārtikas un pamata materiālās palīdzības sniegšana vistrūcīgākajām personām 2014.–2020. gada plānošanas periodā” (turpmāk – EAFVP darbības programma)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sadarbībā ar Eiropas Savienības fondu atbildīgajām iestādēm virzīt grozījumus darbības programmā “Izaugsme un nodarbinātība”,  pārceļot 2.1.2. specifiskā atbalsta mērķa (turpmāk – SAM) “Nodrošināt inovatīvu tehnoloģisko risinājumu ieviešanu ārējās robežas kontrolē” atbrīvoto Eiropas reģionālās attīstības fonda (turpmāk – ERAF) finansējumu 13 217 837 </w:t>
      </w:r>
      <w:r w:rsidR="00000000" w:rsidRPr="00000000" w:rsidDel="00000000">
        <w:rPr>
          <w:i w:val="1"/>
          <w:rtl w:val="0"/>
        </w:rPr>
        <w:t xml:space="preserve">euro</w:t>
      </w:r>
      <w:r w:rsidR="00000000" w:rsidRPr="00000000" w:rsidDel="00000000">
        <w:rPr>
          <w:rtl w:val="0"/>
        </w:rPr>
        <w:t xml:space="preserve"> uz 4.2.2. SAM “Atbilstoši pašvaldības integrētajām attīstības programmām sekmēt energoefektivitātes paaugstināšanu un atjaunojamo energoresursu izmantošanu pašvaldību ēkās” (turpmāk – 4.2.2. SAM). Pārdalīto ERAF finansējumu 10 465 225 </w:t>
      </w:r>
      <w:r w:rsidR="00000000" w:rsidRPr="00000000" w:rsidDel="00000000">
        <w:rPr>
          <w:i w:val="1"/>
          <w:rtl w:val="0"/>
        </w:rPr>
        <w:t xml:space="preserve">euro</w:t>
      </w:r>
      <w:r w:rsidR="00000000" w:rsidRPr="00000000" w:rsidDel="00000000">
        <w:rPr>
          <w:rtl w:val="0"/>
        </w:rPr>
        <w:t xml:space="preserve"> apmērā novirzīt 4.2.2. SAM piektajai projektu iesniegumu atlases kārtai REACT-EU 13.1.3.1. pasākumā “Energoefektivitātes paaugstināšana pašvaldību infrastruktūrā ekonomiskās situācijas uzlabošanai” (turpmāk 13.1.3.1. pasākums) plānoto projektu īstenošanai, vienlaikus atbrīvojot REACT-EU ietvaros 13.1.3.1. pasākumam iedalītā (2022. gada 22. marta Ministru kabineta protokollēmuma Nr. 17 34. § 3.3. apakšpunkts) valsts budžeta finansējuma daļu 10 465 225 </w:t>
      </w:r>
      <w:r w:rsidR="00000000" w:rsidRPr="00000000" w:rsidDel="00000000">
        <w:rPr>
          <w:i w:val="1"/>
          <w:rtl w:val="0"/>
        </w:rPr>
        <w:t xml:space="preserve">euro</w:t>
      </w:r>
      <w:r w:rsidR="00000000" w:rsidRPr="00000000" w:rsidDel="00000000">
        <w:rPr>
          <w:rtl w:val="0"/>
        </w:rPr>
        <w:t xml:space="preserve"> un pārceļot to uz EAFVP darbības programmu. Atlikušos 2 752 612 </w:t>
      </w:r>
      <w:r w:rsidR="00000000" w:rsidRPr="00000000" w:rsidDel="00000000">
        <w:rPr>
          <w:i w:val="1"/>
          <w:rtl w:val="0"/>
        </w:rPr>
        <w:t xml:space="preserve">euro</w:t>
      </w:r>
      <w:r w:rsidR="00000000" w:rsidRPr="00000000" w:rsidDel="00000000">
        <w:rPr>
          <w:rtl w:val="0"/>
        </w:rPr>
        <w:t xml:space="preserve"> novirzīt 4.2.2. SAM valsts budžeta virssaistību daļējai kompensēšanai.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steidzamības kārtā virzīt grozījumus Ministru kabineta 2014. gada 25. novembra noteikumos Nr. 727 "Darbības programmas "Pārtikas un pamata materiālās palīdzības sniegšana vistrūcīgākajām personām 2014.–2020. gada plānošanas periodā" īstenošanas noteikumi", pārceļot valsts budžeta finansējumu 10 465 225 </w:t>
      </w:r>
      <w:r w:rsidR="00000000" w:rsidRPr="00000000" w:rsidDel="00000000">
        <w:rPr>
          <w:i w:val="1"/>
          <w:rtl w:val="0"/>
        </w:rPr>
        <w:t xml:space="preserve">euro </w:t>
      </w:r>
      <w:r w:rsidR="00000000" w:rsidRPr="00000000" w:rsidDel="00000000">
        <w:rPr>
          <w:rtl w:val="0"/>
        </w:rPr>
        <w:t xml:space="preserve">atbilstoši šī protokollēmuma 4.1. apakšpunktā minētajam.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šī protokollēmuma 4.1. apakšpunktā minēto grozījumu priekšlikumu darbības programmā “Izaugsme un nodarbinātība” apstiprināšanas Eiropas Komisijā, Vides aizsardzības un reģionālās attīstības ministrijai steidzamības kārtā virzīt attiecīgus grozījumus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attiecīgi precizējot finansējuma avotus.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informatīvā ziņojuma 2.2. apakšpunktā sniegto informāciju par riskiem Kohēzijas fonda līdzfinansētās investīcijās darbības programmas “Izaugsme un nodarbinātība” ietvaros un, lai pilnā apmērā saņemtu Kohēzijas fonda finansējumu un mazinātu negatīvu ietekmi uz vispārējās valdības budžeta bilanci: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par aktualitāti zaudējušu Ministru kabineta 2022. gada 22. marta sēdes protokollēmuma (Nr. 17 34. §) 4.4.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virzot grozījumus darbības programmā “Izaugsme un nodarbinātība”, sadarbībā ar Eiropas Savienības fondu atbildīgajām iestādēm izstrādāt priekšlikumu risinājumiem Eiropas Savienības fondu finansējuma pārdalēm no 6. prioritārā virziena “Ilgtspējīga transporta sistēma” uz 4. prioritāro virzienu “Pāreja uz ekonomiku ar zemu oglekļa emisijas līmeni visās nozarēs”.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informatīvā ziņojuma 2.2. apakšpunktā sniegto informāciju un, lai sasniegtu projektos paredzētos rādītājus un nodrošinātu pilnvērtīgas investīcijas, sadārdzinājuma segšanai projektos atļaut izmantot 6.1.5. specifiskā atbalsta mērķa “Valsts galveno autoceļu segu pārbūve, nestspējas palielināšana” finansējuma atlikumus līdz 3 318 964,45 </w:t>
      </w:r>
      <w:r w:rsidR="00000000" w:rsidRPr="00000000" w:rsidDel="00000000">
        <w:rPr>
          <w:i w:val="1"/>
          <w:rtl w:val="0"/>
        </w:rPr>
        <w:t xml:space="preserve">euro</w:t>
      </w:r>
      <w:r w:rsidR="00000000" w:rsidRPr="00000000" w:rsidDel="00000000">
        <w:rPr>
          <w:rtl w:val="0"/>
        </w:rPr>
        <w:t xml:space="preserve">, tai skaitā Kohēzijas fonda finansējumu 2 821 119,78 </w:t>
      </w:r>
      <w:r w:rsidR="00000000" w:rsidRPr="00000000" w:rsidDel="00000000">
        <w:rPr>
          <w:i w:val="1"/>
          <w:rtl w:val="0"/>
        </w:rPr>
        <w:t xml:space="preserve">euro</w:t>
      </w:r>
      <w:r w:rsidR="00000000" w:rsidRPr="00000000" w:rsidDel="00000000">
        <w:rPr>
          <w:rtl w:val="0"/>
        </w:rPr>
        <w:t xml:space="preserve"> un valsts budžeta finansējumu 497 844,67 </w:t>
      </w:r>
      <w:r w:rsidR="00000000" w:rsidRPr="00000000" w:rsidDel="00000000">
        <w:rPr>
          <w:i w:val="1"/>
          <w:rtl w:val="0"/>
        </w:rPr>
        <w:t xml:space="preserve">euro</w:t>
      </w:r>
      <w:r w:rsidR="00000000" w:rsidRPr="00000000" w:rsidDel="00000000">
        <w:rPr>
          <w:rtl w:val="0"/>
        </w:rPr>
        <w:t xml:space="preserve">, attiecināmām izmaksām projektos Nr. 6.1.5.0/21/I/001 “Valsts galvenā autoceļa A8 Rīga–Jelgava–Eleja–Lietuvas robeža (Meitene) labās brauktuves posma km 9,93–18,93 segas pārbūve”, Nr. 6.1.5.0/21/I/002 “Valsts galvenā autoceļa A13 Krievijas robeža (Grebņeva)–Rēzekne–Daugavpils–Lietuvas robeža (Medumi) posma km 2,90–14,08 segas pārbūve”, Nr. 6.1.5.0/21/I/003 “Valsts galvenā A10 Rīga–Ventspils posma km 41,16–52,73 segas pārbūve”, ja Centrālās finanšu un līgumu aģentūra ir atzinusi sadārdzinājumu par pamatotu un atbilstošu iepirkumus regulējošajiem normatīvajiem aktiem.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Ņemot vērā informatīvā ziņojuma 2.2. apakšpunktā sniegto informāciju par Vides aizsardzības un reģionālās attīstības ministrijas piedāvāto risinājumu projektu pabeigšanai publiskās infrastruktūras uzņēmējdarbības attīstības projektos, Vides aizsardzības un reģionālās attīstības ministrijai sagatavot un virzīt izskatīšanai Ministru kabineta sēdē steidzamības kārtībā grozījumus Ministru kabineta noteikumos par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īstenošanu, pagarinot nacionālo iznākuma rādītāju sasniegšanas termiņu līdz pieciem gadiem pēc projektu pabeigšanas.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Ņemot vērā informatīvā ziņojuma 2.3. apakšpunktā sniegto informāciju, Nodrošinājuma valsts aģentūras īstenotajā projektā Nr. 4.2.1.2/17/I/026 “Paaugstināt valsts ēkas Miera ielā 3, Siguldā, energoefektivitāti” konstatētos neatbilstoši veiktos izdevumus 4 907,10 </w:t>
      </w:r>
      <w:r w:rsidR="00000000" w:rsidRPr="00000000" w:rsidDel="00000000">
        <w:rPr>
          <w:i w:val="1"/>
          <w:rtl w:val="0"/>
        </w:rPr>
        <w:t xml:space="preserve">euro</w:t>
      </w:r>
      <w:r w:rsidR="00000000" w:rsidRPr="00000000" w:rsidDel="00000000">
        <w:rPr>
          <w:rtl w:val="0"/>
        </w:rPr>
        <w:t xml:space="preserve"> (Eiropas Savienības fondu līdzfinansējums 4 171,03 </w:t>
      </w:r>
      <w:r w:rsidR="00000000" w:rsidRPr="00000000" w:rsidDel="00000000">
        <w:rPr>
          <w:i w:val="1"/>
          <w:rtl w:val="0"/>
        </w:rPr>
        <w:t xml:space="preserve">euro</w:t>
      </w:r>
      <w:r w:rsidR="00000000" w:rsidRPr="00000000" w:rsidDel="00000000">
        <w:rPr>
          <w:rtl w:val="0"/>
        </w:rPr>
        <w:t xml:space="preserve">, valsts budžeta finansējums 736,07</w:t>
      </w:r>
      <w:r w:rsidR="00000000" w:rsidRPr="00000000" w:rsidDel="00000000">
        <w:rPr>
          <w:i w:val="1"/>
          <w:rtl w:val="0"/>
        </w:rPr>
        <w:t xml:space="preserve"> euro</w:t>
      </w:r>
      <w:r w:rsidR="00000000" w:rsidRPr="00000000" w:rsidDel="00000000">
        <w:rPr>
          <w:rtl w:val="0"/>
        </w:rPr>
        <w:t xml:space="preserve">) attiecināt uz Eiropas Savienības struktūrfondu un Kohēzijas fonda 2014.–2020. gada plānošanas perioda valsts budžeta virssaistībām saskaņā ar Ministru kabineta 2015. gada 8. septembra noteikumu Nr. 517 „Kārtība, kādā ziņo par konstatētajām neatbilstībām un atgūst neatbilstoši veiktos izdevumus Eiropas Savienības struktūrfondu un Kohēzijas fonda ieviešanā 2014.–2020. gada plānošanas periodā” 25.1. apakšpunktu.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Ņemot vērā informatīvā ziņojuma trešajā sadaļā sniegto informāciju, Labklājības ministrijai un Satiksmes ministrijai veikt nepieciešamās darbības, lai iespējami ātri nodrošinātu ieguldījumu priekšnosacījumu izpildi Eiropas Savienības fondu 2021.–2027. gada plānošanas perioda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Savienības fondu 2021.–2027. gada plānošanas perioda atbildīgajām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Ministru kabineta noteikumu par investīciju īstenošanu izstrādāšanu un virzību apstiprināšanai Ministru kabinetā atbilstoši informatīvā ziņojuma 3. pielikumā noteiktajam indikatīvajam laika grafikam.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2022. gada 31. decembrim izveidot un iesniegt Finanšu ministrijā Eiropas Savienības fondu 2021.–2027. gada plānošanas perioda investīciju valsts budžeta izdevumu prognozes par katru gadu 2023.–2030. gada periodā specifisko atbalsta mērķu un pasākumu dalījumā, atsevišķi norādot ikgadējos izdevumus būvniecībai, saskaņā ar informatīvā ziņojuma 3. pielikumā noteikto indikatīvo laika grafiku. 2023. gada valsts budžeta izdevumu prognozes iesniegt pusgadu dalījumā.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Ņemot vērā informatīvā ziņojuma ceturtajā sadaļā sniegto informāciju par kavējumiem Atveseļošanas fonda plāna ieviešanā un, lai novērstu risku maksājuma pieprasījuma par 503 miljoniem </w:t>
      </w:r>
      <w:r w:rsidR="00000000" w:rsidRPr="00000000" w:rsidDel="00000000">
        <w:rPr>
          <w:i w:val="1"/>
          <w:rtl w:val="0"/>
        </w:rPr>
        <w:t xml:space="preserve">euro</w:t>
      </w:r>
      <w:r w:rsidR="00000000" w:rsidRPr="00000000" w:rsidDel="00000000">
        <w:rPr>
          <w:rtl w:val="0"/>
        </w:rPr>
        <w:t xml:space="preserve"> 2023. gadā iesniegšanai Eiropas Komisijai un Atveseļošanas fonda finansējuma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un Labklājības ministrijai kā nozares ministrijām nodrošināt kavētu 69. un 115. atskaites punktu izpildi ne vēlāk kā līdz 2023. gada 31. martam un iesniegt atskaites punktu sasniegšanas pamatojošo dokumentāciju Kohēzijas politikas fondu vadības informācijas sistēmā un Finanšu ministrijā līdz 2023. gada 14. aprīlim, ja netiks saņemts pozitīvs Eiropas Komisijas lēmums par Atveseļošanas fonda plāna grozījumu priekšlikumiem.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kā nozares ministrijai nodrošināt kavēta 78. mērķa izpildi ne vēlāk kā līdz 2023. gada 30. jūnijam un iesniegt mērķa sasniegšanas pamatojošo dokumentāciju Kohēzijas politikas fondu vadības informācijas sistēmā un Finanšu ministrijā līdz 2023. gada 14. jūlijam, ja netiks saņemts pozitīvs Eiropas Komisijas lēmums par Atveseļošanas fonda plāna grozījumu priekšlikumiem.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kā nozares ministrijai nodrošināt kavēta 113. atskaites punkta izpildi ne vēlāk kā līdz 2023. gada 30. jūnijam un iesniegt atskaites punkta sasniegšanas pamatojošo dokumentāciju Kohēzijas politikas fondu vadības informācijas sistēmā un Finanšu ministrijai līdz 2023. gada 14. jūlijam, ja netiks saņemts pozitīvs Eiropas Komisijas lēmums par Atveseļošanas fonda plāna grozījumu priekšlikumiem.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Ņemot vērā informatīvā ziņojuma ceturtajā sadaļā sniegto informāciju par valsts budžeta plānošanu Atveseļošanas fonda plāna ieviešanai, nozares ministrijas un Valsts kanceleja, pieprasot 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Atveseļošanas fonda plāna ietvaros plānoto reformu un investīciju īstenošanai, ir atbildīgas par līdzekļu pieprasījumu pamatotību, atbilstību maksājumu laika grafikiem un finansējuma pieprasījumu un pārdalītā finansējuma izlietojuma atbilstību Eiropas Savienības un Latvijas Republikas normatīvajiem aktiem, Atveseļošanas fonda plānam un Ministru kabineta lēmumiem par Atveseļošanas fonda plāna investīciju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Ņemot vērā informatīvā ziņojuma piektajā sadaļā sniegto informāciju, atbalstīt Eiropas Ekonomikas zonas/Norvēģijas grantu Divpusējās sadarbības fonda iniciatīvu </w:t>
      </w:r>
      <w:r w:rsidR="00000000" w:rsidRPr="00000000" w:rsidDel="00000000">
        <w:rPr>
          <w:i w:val="1"/>
          <w:rtl w:val="0"/>
        </w:rPr>
        <w:t xml:space="preserve">“Vēsturisko ēku saglabāšanas pieredzes veicināšana Latvijā un Norvēģijā “Sens nams, jauns stāsts””</w:t>
      </w:r>
      <w:r w:rsidR="00000000" w:rsidRPr="00000000" w:rsidDel="00000000">
        <w:rPr>
          <w:rtl w:val="0"/>
        </w:rPr>
        <w:t xml:space="preserve"> par 53 390 </w:t>
      </w:r>
      <w:r w:rsidR="00000000" w:rsidRPr="00000000" w:rsidDel="00000000">
        <w:rPr>
          <w:i w:val="1"/>
          <w:rtl w:val="0"/>
        </w:rPr>
        <w:t xml:space="preserve">euro</w:t>
      </w:r>
      <w:r w:rsidR="00000000" w:rsidRPr="00000000" w:rsidDel="00000000">
        <w:rPr>
          <w:rtl w:val="0"/>
        </w:rPr>
        <w:t xml:space="preserve"> ar 100 % donorvalstu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Ņemot vērā informatīvā ziņojuma sestajā sadaļā sniegto informāciju, atzīt Ministru kabineta 2019. gada 18. jūnija sēdes protokollēmuma (prot. Nr. 29, 11. §) 2.1. apakšpunktā, 2018. gada 27. marta sēdes protokollēmuma (prot. Nr. 17, 19. §) 2.2. apakšpunktā un 2019. gada 26. novembra sēdes protokollēmuma (prot. Nr. 55, 13. §) 2.1. apakšpunktā Izglītības un zinātnes ministrijai un Finanšu ministrijai doto uzdevumu par izpildītu.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22-TA-2446</w:t>
    </w:r>
    <w:r>
      <w:br/>
    </w:r>
    <w:r w:rsidR="00000000" w:rsidRPr="00000000" w:rsidDel="00000000">
      <w:rPr>
        <w:rtl w:val="0"/>
      </w:rPr>
      <w:t xml:space="preserve">Izdrukāts 29.07.2026. 23.13 - 3.0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mk_sēdes_protokollēmuma_projekts_22-TA-2446.docx</dc:title>
</cp:coreProperties>
</file>

<file path=docProps/custom.xml><?xml version="1.0" encoding="utf-8"?>
<Properties xmlns="http://schemas.openxmlformats.org/officeDocument/2006/custom-properties" xmlns:vt="http://schemas.openxmlformats.org/officeDocument/2006/docPropsVTypes"/>
</file>