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dienests par katru reģistrēto pacientu papildus aprēķina šā pielikuma 11.2., 11.3. un 11.4. apakšpunktā noteikto reģistrēto pacientu piemaksu, ja ģimenes ārsta prakse saņem māsas un ārsta palīga (feldšera) darbības nodrošināšanas maksājumu divkāršā apmērā atbilstoši šā pielikuma 25.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reģistrēts tāds pacientu skaits, kas atbilstoši šo noteikumu </w:t>
      </w:r>
      <w:r w:rsidR="00000000" w:rsidRPr="00000000" w:rsidDel="00000000">
        <w:rPr>
          <w:rtl w:val="0"/>
        </w:rPr>
        <w:t xml:space="preserve">25. </w:t>
      </w:r>
      <w:r w:rsidR="00000000" w:rsidRPr="00000000" w:rsidDel="00000000">
        <w:rPr>
          <w:rtl w:val="0"/>
        </w:rPr>
        <w:t xml:space="preserve">punktam</w:t>
      </w:r>
      <w:r w:rsidR="00000000" w:rsidRPr="00000000" w:rsidDel="00000000">
        <w:rPr>
          <w:rtl w:val="0"/>
        </w:rPr>
        <w:t xml:space="preserve"> atbilst pilnas prakses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 Šis nosacījums neattiecas uz gadījumiem, ja kā papildu darbinieks tiek nodarbināta ārstniecības 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noteikumu_konsolidētā_versija_p11_25-TA-1003.docx</dc:title>
</cp:coreProperties>
</file>

<file path=docProps/custom.xml><?xml version="1.0" encoding="utf-8"?>
<Properties xmlns="http://schemas.openxmlformats.org/officeDocument/2006/custom-properties" xmlns:vt="http://schemas.openxmlformats.org/officeDocument/2006/docPropsVTypes"/>
</file>