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aprīlī (prot. Nr. 18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Korupcijas novēršanas un apkarošanas pasākumu plānu 2026.–2027.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Korupcijas novēršanas un apkarošanas pasākumu plānu 2026.–2027.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Korupcijas novēršanas un apkarošanas biroju par atbildīgo institūciju plāna īstenošanā un plāna pasākumu izpildes koordinēšanā.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plāna pasākumu izpildi atbildīgajām institūcijām nodrošināt plāna pasākumu īstenošanu plānā noteiktajos termiņos.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plāna īstenošanā iesaistītās institūcijas plānā iekļautos pasākumus īsteno no tām piešķirtajiem valsts budžeta līdzekļiem.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plānā ietverto pasākumu izpildi atbildīgajām institūcijām līdz 2027. gada 1. februārim iesniegt Korupcijas novēršanas un apkarošanas birojam informāciju par pasākumu īstenošanas gaitu 2026. gadā, kā arī līdz 2027. gada 31. decembrim – informāciju par plāna pasākumu izpildes rezultātiem par visu plāna īstenošanas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plāna pasākumu izpildi atbildīgajām institūcijām izstrādāt un līdz 2027. gada 1. februārim iesniegt Korupcijas novēršanas un apkarošanas birojā priekšlikumus korupcijas novēršanas un apkarošanas pasākumiem laikposmam pēc 2027. gada 31. decembra.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Korupcijas novēršanas un apkarošanas birojam apkopot saskaņā ar šā rīkojuma 5. punktu saņemto informāciju un līdz 2028. gada 31. maijam iesniegt noteiktā kārtībā Ministru kabinetā informatīvo ziņojumu par plāna īstenošanas novērtējumu.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Korupcijas novēršanas un apkarošanas birojam, veicot šā rīkojuma 5. punktā minētās informācijas izvērtējumu, izstrādāt Korupcijas novēršanas un apkarošanas pasākumu plānu nākamajam plānošanas periodam un līdz 2027. gada 1. novembrim iesniegt to Ministru kabinetā.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25-TA-1882</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25-TA-1882</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rīkojuma_projekts_25-TA-1882.docx</dc:title>
</cp:coreProperties>
</file>

<file path=docProps/custom.xml><?xml version="1.0" encoding="utf-8"?>
<Properties xmlns="http://schemas.openxmlformats.org/officeDocument/2006/custom-properties" xmlns:vt="http://schemas.openxmlformats.org/officeDocument/2006/docPropsVTypes"/>
</file>