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 (Latvijas Vēstnesis, 2023, 250. nr.; 2024, 138. nr.; 2025, 60.,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iznākuma rādītājs – mikrouzņēmumi, mazie vai vidējie uzņēmumi, tai skaitā kooperatīvie uzņēmumi, sociālie uzņēmumi, kas saņēmuši atbalstu, – 184, tai skaitā līdz 2024. gada 31. decembrim – 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nacionālais rādītājs – biedrības un nodibinājumi, kas saņēmuši atbalstu senioru skolas pasākumu īstenošanai, – 35;".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nacionālais rādītājs – seniori, kuri piedalījušies senioru skolas pasākumos, – 3 500."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pieejamais kopējais attiecināmais finansējums ir 17 865 689 </w:t>
      </w:r>
      <w:r w:rsidR="00000000" w:rsidRPr="00000000" w:rsidDel="00000000">
        <w:rPr>
          <w:i w:val="1"/>
          <w:rtl w:val="0"/>
        </w:rPr>
        <w:t xml:space="preserve">euro</w:t>
      </w:r>
      <w:r w:rsidR="00000000" w:rsidRPr="00000000" w:rsidDel="00000000">
        <w:rPr>
          <w:rtl w:val="0"/>
        </w:rPr>
        <w:t xml:space="preserve">, tai skaitā ESF+ finansējums – 15 185 835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15.4.2.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"15.4.2.</w:t>
      </w:r>
      <w:r w:rsidR="00000000" w:rsidRPr="00000000" w:rsidDel="00000000">
        <w:rPr>
          <w:vertAlign w:val="superscript"/>
          <w:rtl w:val="0"/>
        </w:rPr>
        <w:t xml:space="preserve">1</w:t>
      </w:r>
      <w:r w:rsidR="00000000" w:rsidRPr="00000000" w:rsidDel="00000000">
        <w:rPr>
          <w:rtl w:val="0"/>
        </w:rPr>
        <w:t xml:space="preserve"> ārvalstu komandējumu izmaksas finansējuma saņēmēja projekta vadītājam un projekta īstenošanas personālam šo noteikumu 13.3. apakšpunktā minētās atbalstāmās darbības īstenošanai. Ārvalstu komandējumu izmaksas aprēķina un atlīdzina saskaņā ar normatīvajiem aktiem, kas nosaka kārtību, kādā atlīdzināmi ar komandējumiem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valsts sociālās apdrošināšanas obligāto iemaksu darba devēja daļu kompensē par kalendāra ceturksnī samaksāto summu. Kompensāciju piešķir mēneša laikā pēc kompensācijas pieprasījuma saņemšanas, ievērojot normatīvajos aktos par valsts sociālo apdrošināšanu noteikto obligāto iemaksu likmi un nepārsniedzot summu, kas ir vienāda ar valsts sociālās apdrošināšanas obligāto iemaksu darba devēja daļu no vidējās darba algas attiecīgajā profesijā kalendāra ceturkšņa pirmajā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22.1., 22.2. un 22.3. apakšpunktā minēto kompensāciju neizmaksā par nodarbinātajiem, kuru darba atlīdzība attiecīgajā laikposmā tiek kompensēta no cita publiskā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30.1.5.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"30.1.5. šo noteikumu 30.1.4. apakšpunktā minēto atgūto finanšu atbalstu var izmantot šo noteikumu 13.1. apakšpunktā minētās atbalstāmās darbības īstenošanai, veicot atgūtā un atkārtoti izmantotā finanšu atbalsta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30.3.5.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"30.3.5. pieprasa un atgūst no sociālajiem uzņēmumiem nepamatoti piešķirto un biznesa plāna īstenošanas laikā neatbilstoši izmantoto finanšu atbalstu, ja tā atgūšana ir iespējama un atbilstoši šo noteikumu 12.1. apakšpunktā minētā sadarbības partnera izstrādātajiem finanšu atbalsta piedziņas noteikumiem, kuri saskaņoti ar Finanšu ministriju un finansējuma saņēmēju, nodrošina valsts budžeta efektīvu izmantošanu, proti, atgūstamā finanšu atbalsta apmērs nav mazāks par piedziņas procesa izmaksām vai ir vienāds ar tām. Ja neatbilstoši izmantoto finanšu atbalstu nav bijis iespējams atgūt, šo noteikumu 12.1. apakšpunktā minētais sadarbības partneris dokumentāri pierāda, ka ir veicis pietiekamus un samērīgus pasākumus sociālo uzņēmumu uzraudzībai un neatbilstoši izmantotā finanšu atbalsta atgūšanai;".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30.3.6.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"30.3.6. šo noteikumu 30.3.5. apakšpunktā minēto atgūto finanšu atbalstu var izmantot šo noteikumu 13.1. apakšpunktā minētās atbalstāmās darbības īstenošanai, veicot atgūtā un atkārtoti izmantotā finanšu atbalsta uzskaiti. Atgūto finanšu atbalstu, kas nav atkārtoti izmantots šo noteikumu 13.1. apakšpunktā minētās atbalstāmās darbības īstenošanai, atmaksā finansējuma saņēmējam."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26-TA-971</w:t>
    </w:r>
    <w:r>
      <w:br/>
    </w:r>
    <w:r w:rsidR="00000000" w:rsidRPr="00000000" w:rsidDel="00000000">
      <w:rPr>
        <w:rtl w:val="0"/>
      </w:rPr>
      <w:t xml:space="preserve">Izdrukāts 15.09.2026.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26-TA-971</w:t>
    </w:r>
    <w:r>
      <w:br/>
    </w:r>
    <w:r w:rsidR="00000000" w:rsidRPr="00000000" w:rsidDel="00000000">
      <w:rPr>
        <w:rtl w:val="0"/>
      </w:rPr>
      <w:t xml:space="preserve">Izdrukāts 15.09.2026.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noteikumu_(grozījumu)_projekts_26-TA-971.docx</dc:title>
</cp:coreProperties>
</file>

<file path=docProps/custom.xml><?xml version="1.0" encoding="utf-8"?>
<Properties xmlns="http://schemas.openxmlformats.org/officeDocument/2006/custom-properties" xmlns:vt="http://schemas.openxmlformats.org/officeDocument/2006/docPropsVTypes"/>
</file>