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vārds (vārdi), uzvārds 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vārds (vārdi), uzvārds 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Faktiskā dzīvesvieta 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Iestādes nosaukums 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Uzņemšanas diagnoze 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</w:t>
      </w:r>
      <w:r w:rsidR="00000000" w:rsidRPr="00000000" w:rsidDel="00000000">
        <w:rPr>
          <w:sz w:val="40"/>
          <w:rtl w:val="0"/>
        </w:rPr>
        <w:t xml:space="preserve">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</w:t>
      </w:r>
      <w:r w:rsidR="00000000" w:rsidRPr="00000000" w:rsidDel="00000000">
        <w:rPr>
          <w:sz w:val="40"/>
          <w:rtl w:val="0"/>
        </w:rPr>
        <w:t xml:space="preserve">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angiotenzīnu konvertējoša enzīma (AKE) inhibitori 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angiotenzīna II receptora blokatori (ARB) 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nesteroīdie pretiekaisuma līdzekļi 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Klīniskais materiāls 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Izraisītājs 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Autopsijas rezultāts 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Papildu informācija 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21-TA-395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21-TA-395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noteikumu_projekts_p1_21-TA-395.docx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