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3.1.1. specifiskā atbalsta mērķa "Attīstīt ilgtspējīgu, pret klimatu izturīgu, inteliģentu, drošu un vairākveidu TEN-T infrastruktūru" 3.1.1.2. pasākuma "Ieguldījumi TEN-T tīkla autoceļu drošībā un vides piekļūstamībā"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prioritārā virziena "Ilgtspējīga TEN-T infrastruktūra" 3.1.1. specifiskā atbalsta mērķa "Attīstīt ilgtspējīgu, pret klimatu izturīgu, inteliģentu, drošu un vairākveidu TEN-T infrastruktūru" 3.1.1.2. pasākumu "Ieguldījumi TEN-T tīkla autoceļu drošībā un vides piekļūstamībā"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Kohēzijas fonda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uzlabot satiksmes dalībnieku, tostarp mazaizsargāto satiksmes dalībnieku, drošību un vides piekļūstamību, izveidojot atbilstošu infrastruktūru Eiropas transporta tīkla (turpmāk – TEN-T) autoceļos, kur esošie risinājumi nenodrošina satiksmes drošības prasības.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satiksmes dalībnieki, tostarp mazaizsargātie satiksmes dalībnieki.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plānotais kopējais finansējums ir ne mazāks kā 65 973 240 </w:t>
      </w:r>
      <w:r w:rsidR="00000000" w:rsidRPr="00000000" w:rsidDel="00000000">
        <w:rPr>
          <w:i w:val="1"/>
          <w:rtl w:val="0"/>
        </w:rPr>
        <w:t xml:space="preserve">euro</w:t>
      </w:r>
      <w:r w:rsidR="00000000" w:rsidRPr="00000000" w:rsidDel="00000000">
        <w:rPr>
          <w:rtl w:val="0"/>
        </w:rPr>
        <w:t xml:space="preserve">, tai skaitā Kohēzijas fonda finansējums – 56 077 253 </w:t>
      </w:r>
      <w:r w:rsidR="00000000" w:rsidRPr="00000000" w:rsidDel="00000000">
        <w:rPr>
          <w:i w:val="1"/>
          <w:rtl w:val="0"/>
        </w:rPr>
        <w:t xml:space="preserve">euro</w:t>
      </w:r>
      <w:r w:rsidR="00000000" w:rsidRPr="00000000" w:rsidDel="00000000">
        <w:rPr>
          <w:rtl w:val="0"/>
        </w:rPr>
        <w:t xml:space="preserve"> un valsts budžeta finansējums – 9 895 987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Maksimālais attiecināmais Kohēzijas fonda finansējuma apmērs nepārsniedz 85 procentus no projektā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iesniedzējs projekta īstenošanā, ja nepieciešams, var piesaistīt papildu publiskos līdzekļus attiecināmo izmaksu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Kohēzijas fonda finansējumu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Pasākumu īsteno līdz 2029. gada 31. decembrim, sasniedzot iznākuma rādītāju – objektu skaits, kuros uzlabota satiksmes dalībnieku, tostarp mazaizsargāto, drošība un vides piekļūstamība, – vismaz 7 objekti.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minētais iznākuma rādītājs ir sasniegts, kad objekti, kuros veikti ieguldījumi satiksmes drošības uzlabošanā un vides piekļūstamībā, ir nodoti ekspluatācijā saskaņā ar būvniecības jomu reglamentējošajiem normatīvajiem aktiem un projekts ir pabeigts.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atbildīgās iestādes funkcijas pilda Satiksmes ministrija.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ir Satiksmes ministrija, kuras vārdā atbilstoši </w:t>
      </w:r>
      <w:r w:rsidR="00000000" w:rsidRPr="00000000" w:rsidDel="00000000">
        <w:rPr>
          <w:rtl w:val="0"/>
        </w:rPr>
        <w:t xml:space="preserve">likuma "Par autoceļiem"</w:t>
      </w:r>
      <w:r w:rsidR="00000000" w:rsidRPr="00000000" w:rsidDel="00000000">
        <w:rPr>
          <w:rtl w:val="0"/>
        </w:rPr>
        <w:t xml:space="preserve"> 7. panta trešajai daļai un Satiksmes ministrijas deleģēšanas līgumam darbojas valsts sabiedrība ar ierobežotu atbildību "Latvijas Valsts ceļi", kas veiks Satiksmes ministrijas kā projekta iesniedzēja funkcijas.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kas pēc projekta apstiprināšanas ir finansējuma saņēmējs (turpmāk – finansējuma saņēmējs), sagatavo projekta iesniegumu atbilstoši projektu iesniegumu atlases nolikumā noteiktajām prasībām, pievienojot projektam veikto izmaksu un ieguvumu analīzi, un iesniedz to sadarbības iestādē, izmantojot Kohēzijas politikas fondu vadības informācijas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pasākuma ietvaros var iesniegt vairākus projektu iesniegumus. Projekta iesniegumā var iekļaut vairākus objektus.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ir atbalstāmas uz ieguldījumiem satiksmes drošības un vides piekļūstamības uzlabošanā vērstas darbības, kas saistītas ar divlīmeņu šķērsojumu izveidi mazaizsargātajiem satiksmes dalībniekiem TEN-T autoceļos, divlīmeņu satiksmes pārvadu izbūvi TEN-T autoceļu krustojumos, kur esošie risinājumi nenodrošina satiksmes drošības prasību izpildi, kā arī esošo krustojumu pārbūve, sabiedriskā transporta pieturvietu vides piekļūstamības uzlabošana un transportlīdzekļu svēršanai gaitā nepieciešamās infrastruktūras izbūve.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iesniegumā neiekļauj darbības, kas nav vērstas uz šo noteikumu </w:t>
      </w:r>
      <w:r w:rsidR="00000000" w:rsidRPr="00000000" w:rsidDel="00000000">
        <w:rPr>
          <w:rtl w:val="0"/>
        </w:rPr>
        <w:t xml:space="preserve">2.</w:t>
      </w:r>
      <w:r w:rsidR="00000000" w:rsidRPr="00000000" w:rsidDel="00000000">
        <w:rPr>
          <w:rtl w:val="0"/>
        </w:rPr>
        <w:t xml:space="preserve"> punktā</w:t>
      </w:r>
      <w:r w:rsidR="00000000" w:rsidRPr="00000000" w:rsidDel="00000000">
        <w:rPr>
          <w:rtl w:val="0"/>
        </w:rPr>
        <w:t xml:space="preserve"> minētā mērķa sasniegšanu.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ietvaros ir attiecināmas šādas projekta tiešās attiecināmās izmaksas, kas ir tieši saistītas ar projekta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 (izņemot projekta iesnieguma veidlapas aizpildīšanas izmaksas), tai skaitā projekta ekonomisko ieguvumu aprēķina un tehniski ekonomiskā pamatojuma izstrādes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obligāto prasību nodrošināšanas izmaksas, tostarp ietekmes uz vidi novērtējuma izmaksas, ciktāl to paredz normatīvie akti vides aizsardzības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zemes iegādes izmaksas, ja zemes iegāde ir tieši nepieciešama projektā paredzētās būvniecības īstenošanai, bet ne vairāk kā 10 procenti no projektā plānoto attiecināmo izmaksu kopsummas;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būvlaukuma ierīkošanas un novākšanas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satiksmes pārvada, gājēju un velosipēdistu tilta, tuneļa un rampas (turpmāk – transportbūves) būvniecības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apbraucamo ceļu būvniecības, nojaukšanas un uzturēšanas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transportbūvei vai ceļa kompleksam piegulošā inženiertīkla pārbūves izmaksas. Izmaksas attiecināmas tikai tad, ja tiek nodrošināts sertificēta būvinženiera ekspertīzes atzinums, kurā konstatēts, ka projekta ietvaros, veicot plānotos ieguldījumus noteiktās teritorijās, nav iespējams izvairīties no minētās infrastruktūras bojāšanas, pārbūves vai pārcelšanas, un ieguldījumi inženiertīkla pārbūvē tiek veikti, nemainot inženiertīkla tehniskos parametrus un neradot priekšrocības to īpašniekiem, kā arī nodrošinot atbilstību valsts atbalsta regulējumam;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krustojumu pārbūves izmaksas, lai nodrošinātu satiksmes drošības un vides piekļūstamības uzlabošanu;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esošo ceļu atjaunošanas un pārbūves izmaksas, kā arī jaunu ceļu, krustojumu, apgaismojuma līniju, pieturvietu, lietus ūdens savākšanas un attīrīšanas iekārtu izbūves izmaksas, ja tie nedalāmi saistīti 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transportlīdzekļu svēršanai gaitā nepieciešamās infrastruktūras izbūve un aprīkojuma iegādes un uzstādīšanas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ar sabiedriskā transporta pieturvietu vides piekļūstamības uzlabošanu saistītās būvniecības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mazaizsargātajiem satiksmes dalībniekiem paredzēto ceļu būvniecības izmaksas, tostarp lai novērstu infrastruktūras pārrāvumus, ar nosacījumu, ka tie nedalāmi saistīti 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labiekārtošanas izmaksas, tai skaitā apzaļumošana;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ceļu satiksmes organizācijas tehnisko līdzekļu uzstādīšanas un atjaunošanas izmaksas, piemēram, ceļa zīmes, luksofori, signālstabiņi, aizsargbarjeras, gājēju barjeras, vertikālie un horizontālie ceļa apzīmējumi;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satiksmes vadības aprīkojuma uzstādīšanas un atjaunošanas izmaksas, piemēram, meteoroloģiskās stacijas, kas nepieciešamas transportbūves un ceļa posma seguma stāvokļa un slodzes noteikšanai, un satiksmes intensitātes uzskaites punkti;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ceļu drošības audita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būvprojekta izstrādes un ar to saistīto būvekspertīžu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būvdarbu uzraudzības un autoruzraudzības izmaksas un attiecīgo būvspeciālistu normatīvajos aktos noteiktās obligātās apdrošināšanas izmaksas atbilstoši normatīvajiem aktiem būvspeciālistu un būvdarbu veicēju civiltiesiskās atbildības obligātās apdrošināšanas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vides piekļūstamības ekspertu konsultāciju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komunikācijas un vizuālās identitātes prasību nodrošināšanas izmaksas, informācijas un publicitātes pasākumu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neparedzētās izmaksas ne vairāk kā 5 procentu apmērā no projektā plānoto kopējo tiešo attiecināmo izmaksu 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autoceļu satiksmes radītā trokšņa samazināšanas izmaksas, tostarp prettrokšņa sienu vai prettrokšņa vaļņu ierīkošana, ciktāl to paredz normatīvie akti vides aizsardzības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w:t>
      </w:r>
      <w:r w:rsidR="00000000" w:rsidRPr="00000000" w:rsidDel="00000000">
        <w:rPr>
          <w:rtl w:val="0"/>
        </w:rPr>
        <w:t xml:space="preserve">,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19.16.</w:t>
      </w:r>
      <w:r w:rsidR="00000000" w:rsidRPr="00000000" w:rsidDel="00000000">
        <w:rPr>
          <w:rtl w:val="0"/>
        </w:rPr>
        <w:t xml:space="preserve"> un </w:t>
      </w:r>
      <w:r w:rsidR="00000000" w:rsidRPr="00000000" w:rsidDel="00000000">
        <w:rPr>
          <w:rtl w:val="0"/>
        </w:rPr>
        <w:t xml:space="preserve">19.18.</w:t>
      </w:r>
      <w:r w:rsidR="00000000" w:rsidRPr="00000000" w:rsidDel="00000000">
        <w:rPr>
          <w:rtl w:val="0"/>
        </w:rPr>
        <w:t xml:space="preserve"> apakšpunktā</w:t>
      </w:r>
      <w:r w:rsidR="00000000" w:rsidRPr="00000000" w:rsidDel="00000000">
        <w:rPr>
          <w:rtl w:val="0"/>
        </w:rPr>
        <w:t xml:space="preserve"> minētās izmaksas kopā nepārsniedz 10 procentus no projektā plānotajām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w:t>
      </w:r>
      <w:r w:rsidR="00000000" w:rsidRPr="00000000" w:rsidDel="00000000">
        <w:rPr>
          <w:rtl w:val="0"/>
        </w:rPr>
        <w:t xml:space="preserve">,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19.3.</w:t>
      </w:r>
      <w:r w:rsidR="00000000" w:rsidRPr="00000000" w:rsidDel="00000000">
        <w:rPr>
          <w:rtl w:val="0"/>
        </w:rPr>
        <w:t xml:space="preserve">, </w:t>
      </w:r>
      <w:r w:rsidR="00000000" w:rsidRPr="00000000" w:rsidDel="00000000">
        <w:rPr>
          <w:rtl w:val="0"/>
        </w:rPr>
        <w:t xml:space="preserve">19.16.</w:t>
      </w:r>
      <w:r w:rsidR="00000000" w:rsidRPr="00000000" w:rsidDel="00000000">
        <w:rPr>
          <w:rtl w:val="0"/>
        </w:rPr>
        <w:t xml:space="preserve">, </w:t>
      </w:r>
      <w:r w:rsidR="00000000" w:rsidRPr="00000000" w:rsidDel="00000000">
        <w:rPr>
          <w:rtl w:val="0"/>
        </w:rPr>
        <w:t xml:space="preserve">19.18.</w:t>
      </w:r>
      <w:r w:rsidR="00000000" w:rsidRPr="00000000" w:rsidDel="00000000">
        <w:rPr>
          <w:rtl w:val="0"/>
        </w:rPr>
        <w:t xml:space="preserve"> un </w:t>
      </w:r>
      <w:r w:rsidR="00000000" w:rsidRPr="00000000" w:rsidDel="00000000">
        <w:rPr>
          <w:rtl w:val="0"/>
        </w:rPr>
        <w:t xml:space="preserve">19.21. </w:t>
      </w:r>
      <w:r w:rsidR="00000000" w:rsidRPr="00000000" w:rsidDel="00000000">
        <w:rPr>
          <w:rtl w:val="0"/>
        </w:rPr>
        <w:t xml:space="preserve">apakšpunktā</w:t>
      </w:r>
      <w:r w:rsidR="00000000" w:rsidRPr="00000000" w:rsidDel="00000000">
        <w:rPr>
          <w:rtl w:val="0"/>
        </w:rPr>
        <w:t xml:space="preserve"> minētās izmaksas nesamazina, ja projekta īstenošanas laikā rodas ietaupījums un projekta mērķi un rādītāji tiek sasniegti, kā arī ja ticis piemērots līgumsods vai tiek konstatētas neatbilstoši veiktas izmaksas, kas nav saistītas ar šo noteikumu </w:t>
      </w:r>
      <w:r w:rsidR="00000000" w:rsidRPr="00000000" w:rsidDel="00000000">
        <w:rPr>
          <w:rtl w:val="0"/>
        </w:rPr>
        <w:t xml:space="preserve">19.1.</w:t>
      </w:r>
      <w:r w:rsidR="00000000" w:rsidRPr="00000000" w:rsidDel="00000000">
        <w:rPr>
          <w:rtl w:val="0"/>
        </w:rPr>
        <w:t xml:space="preserve">,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19.3.</w:t>
      </w:r>
      <w:r w:rsidR="00000000" w:rsidRPr="00000000" w:rsidDel="00000000">
        <w:rPr>
          <w:rtl w:val="0"/>
        </w:rPr>
        <w:t xml:space="preserve">, </w:t>
      </w:r>
      <w:r w:rsidR="00000000" w:rsidRPr="00000000" w:rsidDel="00000000">
        <w:rPr>
          <w:rtl w:val="0"/>
        </w:rPr>
        <w:t xml:space="preserve">19.16.</w:t>
      </w:r>
      <w:r w:rsidR="00000000" w:rsidRPr="00000000" w:rsidDel="00000000">
        <w:rPr>
          <w:rtl w:val="0"/>
        </w:rPr>
        <w:t xml:space="preserve">, </w:t>
      </w:r>
      <w:r w:rsidR="00000000" w:rsidRPr="00000000" w:rsidDel="00000000">
        <w:rPr>
          <w:rtl w:val="0"/>
        </w:rPr>
        <w:t xml:space="preserve">19.18.</w:t>
      </w:r>
      <w:r w:rsidR="00000000" w:rsidRPr="00000000" w:rsidDel="00000000">
        <w:rPr>
          <w:rtl w:val="0"/>
        </w:rPr>
        <w:t xml:space="preserve"> un </w:t>
      </w:r>
      <w:r w:rsidR="00000000" w:rsidRPr="00000000" w:rsidDel="00000000">
        <w:rPr>
          <w:rtl w:val="0"/>
        </w:rPr>
        <w:t xml:space="preserve">19.21. </w:t>
      </w:r>
      <w:r w:rsidR="00000000" w:rsidRPr="00000000" w:rsidDel="00000000">
        <w:rPr>
          <w:rtl w:val="0"/>
        </w:rPr>
        <w:t xml:space="preserve">apakšpunktā</w:t>
      </w:r>
      <w:r w:rsidR="00000000" w:rsidRPr="00000000" w:rsidDel="00000000">
        <w:rPr>
          <w:rtl w:val="0"/>
        </w:rPr>
        <w:t xml:space="preserve"> minētajām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attiecināmās izmaksas atbilstoši </w:t>
      </w:r>
      <w:r w:rsidR="00000000" w:rsidRPr="00000000" w:rsidDel="00000000">
        <w:rPr>
          <w:rtl w:val="0"/>
        </w:rPr>
        <w:t xml:space="preserve">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Regula 2021/1060), 64. panta 1. punkta "c" apakšpunkta nosacījumiem, ja tos nevar atgūt atbilstoši normatīvajiem aktiem par pievienotās vērtības nodokli.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Izmaksas, kas saskaņā ar šiem noteikumiem nav iekļaujamas kā attiecināmās izmaksas, ir finansējamas ārpus projekta, tai skaitā izmaksas, kas pārsniedz šo noteikumu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minētos izmaksu ierobežojumus.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ietvaros izmaksas ir attiecināmas no 2022. gada 25. novembra, izņemot šo noteikumu </w:t>
      </w:r>
      <w:r w:rsidR="00000000" w:rsidRPr="00000000" w:rsidDel="00000000">
        <w:rPr>
          <w:rtl w:val="0"/>
        </w:rPr>
        <w:t xml:space="preserve">19.1.</w:t>
      </w:r>
      <w:r w:rsidR="00000000" w:rsidRPr="00000000" w:rsidDel="00000000">
        <w:rPr>
          <w:rtl w:val="0"/>
        </w:rPr>
        <w:t xml:space="preserve">,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19.16.</w:t>
      </w:r>
      <w:r w:rsidR="00000000" w:rsidRPr="00000000" w:rsidDel="00000000">
        <w:rPr>
          <w:rtl w:val="0"/>
        </w:rPr>
        <w:t xml:space="preserve"> un </w:t>
      </w:r>
      <w:r w:rsidR="00000000" w:rsidRPr="00000000" w:rsidDel="00000000">
        <w:rPr>
          <w:rtl w:val="0"/>
        </w:rPr>
        <w:t xml:space="preserve">19.17. </w:t>
      </w:r>
      <w:r w:rsidR="00000000" w:rsidRPr="00000000" w:rsidDel="00000000">
        <w:rPr>
          <w:rtl w:val="0"/>
        </w:rPr>
        <w:t xml:space="preserve">apakšpunktā</w:t>
      </w:r>
      <w:r w:rsidR="00000000" w:rsidRPr="00000000" w:rsidDel="00000000">
        <w:rPr>
          <w:rtl w:val="0"/>
        </w:rPr>
        <w:t xml:space="preserve"> minētās izmaksas, kas ir attiecināmas, ja tās veiktas pēc 2021. gada 1. janvāra. Projekta iesniegumā neiekļauj pabeigtas darbības un finansējumu tām nepiešķir.</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saņēmējs projektu īsteno saskaņā ar noslēgto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projektā sasniegto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minēto iznākuma rādītāju;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 horizontālo principu "Vienlīdzība, iekļaušana, nediskriminācija un pamattiesību ievērošana" un uzkrāj datus par projekta ietekmi uz horizontālā principa rādītāju – objektu skaits, kuros Kohēzijas fonda ieguldījumu rezultātā ir nodrošināta vides un informācijas pieejamība – un citiem horizontālo principu rādītājiem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izpilda attiecināmās prasības un nodrošina, ka projekts atbilst principam "Nenodarīt būtisku kaitējumu" un "Klimatdrošināšana" un Eiropas Savienības kohēzijas politikas programmā 2021.–2027. gadam noteiktajiem Eiropas Savienības un Latvijas Republikas normatīvajiem aktiem vides aizsardzības un klimata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25.2.</w:t>
      </w:r>
      <w:r w:rsidR="00000000" w:rsidRPr="00000000" w:rsidDel="00000000">
        <w:rPr>
          <w:rtl w:val="0"/>
        </w:rPr>
        <w:t xml:space="preserve"> apakšpunktā</w:t>
      </w:r>
      <w:r w:rsidR="00000000" w:rsidRPr="00000000" w:rsidDel="00000000">
        <w:rPr>
          <w:rtl w:val="0"/>
        </w:rPr>
        <w:t xml:space="preserve"> minētajiem horizontālo principu rādītājiem vienlaikus ar informāciju par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minēto iznākuma rādītāja vērtību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lai pasākuma ietvaros attiecināmās izmaksas nepārklātos ar citiem valsts un ārvalstu finanšu atbalsta instrumentiem un novērš dubultā finansējuma risku;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sasniegto rezultātu ilgtspēju vismaz 5 gadus pēc projekta pabeigšanas;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projekta īstenošanas rezultātā radīto vērtību uzturēšanu, laikus plānojot periodisku nodilušo konstrukciju atjaunošanu un finansējuma piešķiršanu šiem darbiem turpmākos divdesmit gadus pēc projekta īstenošanas;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īstenošanas laikā līdz būvdarbu uzsākšanas brīdim nodrošina, ka transporta infrastruktūras izbūve paredzēta finansējuma saņēmēja īpašumā vai valdījumā, vai turējumā esošajās zemes vienībās vai ka finansējuma saņēmējam ar īpašuma vai zemes vienību īpašnieku ir noslēgta atbilstoša vienošanās par īpašuma vai zemes vienības ilgtermiņa nomas vai lietojuma tiesībām, vai apbūves tiesībām, kā arī būvniecības, lietošanas, uzturēšanas un attīstības (tai skaitā modernizēšanas, pārbūves) kārtību. Finansējuma saņēmēja tiesības uz konkrēto objektu vai īpašumu ir nostiprinātas zemesgrāmatā;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komunikācijas un vizuālās identitātes prasību pasākumus saskaņā ar </w:t>
      </w:r>
      <w:r w:rsidR="00000000" w:rsidRPr="00000000" w:rsidDel="00000000">
        <w:rPr>
          <w:rtl w:val="0"/>
        </w:rPr>
        <w:t xml:space="preserve">Regulas 2021/1060</w:t>
      </w:r>
      <w:r w:rsidR="00000000" w:rsidRPr="00000000" w:rsidDel="00000000">
        <w:rPr>
          <w:rtl w:val="0"/>
        </w:rPr>
        <w:t xml:space="preserve"> 47. un 50. pantu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izstrādā iekšējās kontroles sistēmu, ietverot tajā informāciju par interešu konflikta, krāpšanas, korupcijas risku un dubultā finansējuma novēršanas mehānismu;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interešu konflikta neesību saskaņā ar normatīvajiem aktiem publisko iepirkumu jomā, kā arī paraksta interešu konflikta neesības apliecinājumu;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glabā projekta dokumentāciju un nodrošina tās pieejamību visā projekta īstenošanas laikā un uzraudzības periodā, kas nepārsniedz piecus gadus pēc pēdējā noslēguma maksājuma veikšanas finansējuma saņēmējam.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saņēmējs projekta īstenošanai nepieciešamās preces un pakalpojumus iegādājas saskaņā ar normatīvajiem aktiem publisko iepirkumu jomā, īstenojot atklātu, pārredzamu, nediskriminējošu un konkurenci nodrošinošu konkursa procedūru. Atbalstāma ir vides prasību integrācija preču un pakalpojumu iepirkumos, kā arī vides pieejamības un izmantojamības nodrošināšana – zaļais publiskais iepirkums – un, kur tas ir attiecināms un atbilstošs ieguldījumu specifikai, īsteno sociāli atbildīgu iepirkumu, kā arī piemēro inovatīvā publiskā iepirkuma nosacījumus, ja attiecināms.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26-TA-65</w:t>
    </w:r>
    <w:r>
      <w:br/>
    </w:r>
    <w:r w:rsidR="00000000" w:rsidRPr="00000000" w:rsidDel="00000000">
      <w:rPr>
        <w:rtl w:val="0"/>
      </w:rPr>
      <w:t xml:space="preserve">Izdrukāts 29.07.2026. 22.55 - 1.0.VK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26-TA-65</w:t>
    </w:r>
    <w:r>
      <w:br/>
    </w:r>
    <w:r w:rsidR="00000000" w:rsidRPr="00000000" w:rsidDel="00000000">
      <w:rPr>
        <w:rtl w:val="0"/>
      </w:rPr>
      <w:t xml:space="preserve">Izdrukāts 29.07.2026. 22.55 - 1.0.VK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noteikumu_konsolidētā_versija_26-TA-65.docx</dc:title>
</cp:coreProperties>
</file>

<file path=docProps/custom.xml><?xml version="1.0" encoding="utf-8"?>
<Properties xmlns="http://schemas.openxmlformats.org/officeDocument/2006/custom-properties" xmlns:vt="http://schemas.openxmlformats.org/officeDocument/2006/docPropsVTypes"/>
</file>