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13. janvārī (prot. Nr. 1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2022. gada 5. aprīļa noteikumos Nr. 217 "E-lietas platformas datu apstrādes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Procesu norises elektroniskā vidē valsts platformas likuma</w:t>
      </w:r>
      <w:r w:rsidR="00000000" w:rsidRPr="00000000" w:rsidDel="00000000">
        <w:rPr>
          <w:rStyle w:val="paragraph"/>
          <w:i w:val="1"/>
          <w:rtl w:val="0"/>
        </w:rPr>
        <w:t xml:space="preserve"> 3. panta astoto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5. aprīļa noteikumos Nr. 217 "E-lietas platformas datu apstrādes noteikumi" (Latvijas Vēstnesis, 2022, 69. nr.; 2023, 247.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18.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"18. Šo noteikumu 6., 6.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un 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punkts stājas spēkā 2024. gada 1. aprīlī, bet attiecībā uz personām, kuras atrodas ieslodzījuma vietā, šo noteikumu 6., 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un 6.</w:t>
      </w:r>
      <w:r w:rsidR="00000000" w:rsidRPr="00000000" w:rsidDel="00000000">
        <w:rPr>
          <w:vertAlign w:val="superscript"/>
          <w:rtl w:val="0"/>
        </w:rPr>
        <w:t xml:space="preserve">2 </w:t>
      </w:r>
      <w:r w:rsidR="00000000" w:rsidRPr="00000000" w:rsidDel="00000000">
        <w:rPr>
          <w:rtl w:val="0"/>
        </w:rPr>
        <w:t xml:space="preserve">punkts piemērojams, sākot ar 2027. gada 1. janvāri."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25-TA-1692</w:t>
    </w:r>
    <w:r>
      <w:br/>
    </w:r>
    <w:r w:rsidR="00000000" w:rsidRPr="00000000" w:rsidDel="00000000">
      <w:rPr>
        <w:rtl w:val="0"/>
      </w:rPr>
      <w:t xml:space="preserve">Izdrukāts 29.07.2026. 21.31 - 1.0.VK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25-TA-1692</w:t>
    </w:r>
    <w:r>
      <w:br/>
    </w:r>
    <w:r w:rsidR="00000000" w:rsidRPr="00000000" w:rsidDel="00000000">
      <w:rPr>
        <w:rtl w:val="0"/>
      </w:rPr>
      <w:t xml:space="preserve">Izdrukāts 29.07.2026. 21.31 - 1.0.VK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noteikumu_(grozījumu)_projekts_25-TA-1692.docx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