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Instrukcija par valsts budžeta izpildes analīzi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Izdota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2.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Instrukcija nosaka kārtību, kādā ministrijas un citas centrālās valsts iestādes (turpmāk – ministrijas) sagatavo informāciju un veic analīzi par attiecīgās ministrijas budžeta programmās un apakšprogrammās plānoto resursu un izdevumu izpildi, kā arī rezultātu un to rezultatīvo rādītāju izpildi un iesniedz to Finanšu ministrijā.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nodrošina šajā instrukcijā minēto prasību izpildi un sniegtās informācijas patiesumu, kā arī ir atbildīgas par nepieciešamās informācijas pieprasīšanu no padotības iestādēm un tās izvērtēšanu.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ministrijai valsts budžeta izpildes analīzes procesā ir tiesības pieprasīt ministrijām papildu un precizējošu informāciju, tai skaitā detalizētus aprēķinus un aprēķinu pieņēmumus.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Pārskata periods šīs instrukcijas izpratnē ir valsts budžeta izpildes analīzes periods par sešiem, deviņiem vai 12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Pārskata perioda plāns šīs instrukcijas izpratnē ir finansēšanas plānos, kas reģistrēti Valsts kasē saskaņā ar normatīvajiem aktiem par asignējumu piešķiršanu un izpildi, norādītā: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sākotnējās prognozes pa ceturkšņiem summa (par sešiem un deviņiem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finansēšanas plāna gada summa uz pārskata perioda beigām (par 12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instrukcijas Nr. 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Mērķfinansējums šīs instrukcijas izpratnē ir valsts pamatbudžetā plānotie ieņēmumi (vai to daļa) no nodokļiem, valsts nodevām un citiem maksājumiem no valsts institūciju sniegtajiem pakalpojumiem un veiktās darbības, atbilstoši kuriem saskaņā ar Ministru kabineta lēmumu ministrijas budžetā noteiktiem mērķiem tiek plānoti izdevumi no dotācijas no vispārējiem ieņēmumiem.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Budžeta izpildes analīzes saturs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Ministrijas iesniedz Finanšu ministrijā informāciju par valsts budžeta izpildes analīzi, aizpildot šādas veidlapas (turpmāk – izpildes veidlapas):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sešiem, deviņiem un 12 mēnešiem: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"Paskaidrojums par valsts budžeta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sociālo pabalstu, izdienas pensiju, valsts atbalsta sociālajai apdrošināšanai, valsts speciālā budžeta sociālo pabalstu un iemaksu valsts pensiju, invaliditātes apdrošināšanai un apdrošināšanai bezdarba gadījumā izpilde";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12 mēnešiem: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7.2.1.</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"Mērķfinansējuma izpildes analīze";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"Rezultātu, to rezultatīvo rādītāju un prioritāro pasākumu izpildes analīze".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instrukcijas Nr. 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valsts budžeta izpildes analīzi par sešiem un deviņiem mēnešiem ministrijas iesniedz līdz pārskata periodam sekojošā mēneša trīsdesmitajam datumam.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valsts budžeta izpildes analīzi par 12 mēnešiem ministrijas iesniedz līdz pārskata periodam sekojošā gada 25. februārim.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Ministrijas, kuras atbilstoši gadskārtējam valsts budžeta likumam nodrošina, lai valsts budžeta dotācijas un mērķdotācijas tiktu pārskaitītas pašvaldībām, sniedz atsevišķās izpildes veidlapās informāciju par valsts budžeta izpildes analīzi par budžeta resoru "62. Mērķdotācijas pašvaldībām" un "64. Dotācija pašvaldībām" attiecīgo programmu (apakšprogrammu). Valsts budžeta izpildes analīzi par budžeta resoru "74. Gadskārtējā valsts budžeta izpildes procesā pārdalāmais finansējums" (turpmāk – 74. budžeta resors) neveic.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Ministrijas informāciju par valsts budžeta izpildes analīzi sagatavo, paraksta un iesniedz un Finanšu ministrija minēto informāciju saņem Valsts kases e-pakalpojumu portālā.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Izpildes veidlapās neiekļauj ierobežotas pieejamības informāciju un valsts noslēpumu saturošu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instrukcijas Nr. 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Sagatavoto informāciju par valsts budžeta izpildes analīzi paraksta iestādes vadītājs vai viņa pilnvarota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Informatīviem mērķiem Valsts kases e-pakalpojumu portālā tiek nodrošināti valsts budžeta izpildes analīzes kopsavilkuma pārskati.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Izpildes veidlapu aizpildīšanas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Visās izpildes veidlapās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nosaukumu, kā arī citas ziņas un apzīmējumus iestādes identificēšanai;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periodu, par kuru iesniegta informācija budžeta izpildes analīzei;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apmēru – veselos </w:t>
      </w:r>
      <w:r w:rsidR="00000000" w:rsidRPr="00000000" w:rsidDel="00000000">
        <w:rPr>
          <w:i w:val="1"/>
          <w:rtl w:val="0"/>
        </w:rPr>
        <w:t xml:space="preserve">euro</w:t>
      </w:r>
      <w:r w:rsidR="00000000" w:rsidRPr="00000000" w:rsidDel="00000000">
        <w:rPr>
          <w:rtl w:val="0"/>
        </w:rPr>
        <w:t xml:space="preserve">, bet procentus – ar vienas desmitdaļas precizitāti.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ministrija savā tīmekļvietnē publicē informāciju par izpildes veidlapām.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Veidlapā "Paskaidrojums par valsts budžeta izpildi" ministrijas analizē un sniedz skaidrojumus par budžeta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informāciju par galvenajiem pārskata perioda pasākumiem: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līdz pieci pasākumi, kuriem ir novirzīti ministrijas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līdz pieci pasākumi, kuri ir ietekmējuši ministrijas izdevumu plāna neizpildi (pasākumi bija plānoti, bet netika īstenoti vai tika īstenoti daļēji). Šos pasākumus norāda, ja budžeta resora kopējā izdevumu neizpildes procentuālā novirze no pārskata perioda plāna pārsniedz 15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skaidrojumu par valsts pamatfunkciju īstenošanu sadalījumā pa programmām (ja tām nav apakšprogrammu) un apakšprogrammām (ja programma sadalīta apakšprogrammās):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sadaļā "Paveiktais":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pārskata periodā paveikto – pasākumus un (vai) aktivitātes (ieteicams līdz piecām vienībām), kas ir bijušas būtiskas ministrijas mērķu sasniegšanai un aptver būtisku daļu no kopējā pārskata periodā izlietotā finansējuma, uzsverot lietderību un ieguldījumu sabiedrības un nozares interesēs;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skaidrojumu, kā šīs instrukcijas </w:t>
      </w:r>
      <w:r w:rsidR="00000000" w:rsidRPr="00000000" w:rsidDel="00000000">
        <w:rPr>
          <w:rtl w:val="0"/>
        </w:rPr>
        <w:t xml:space="preserve">15.2.1.1. </w:t>
      </w:r>
      <w:r w:rsidR="00000000" w:rsidRPr="00000000" w:rsidDel="00000000">
        <w:rPr>
          <w:rtl w:val="0"/>
        </w:rPr>
        <w:t xml:space="preserve">apakšpunktā</w:t>
      </w:r>
      <w:r w:rsidR="00000000" w:rsidRPr="00000000" w:rsidDel="00000000">
        <w:rPr>
          <w:rtl w:val="0"/>
        </w:rPr>
        <w:t xml:space="preserve"> minētie pasākumi un (vai) aktivitātes ietekmē gadskārtējā valsts budžeta paskaidrojumos plānoto darbības rezultatīvo rādītāju vērtību sasniegšanu. Skaidrojumu sniedz, aizpildot budžeta izpildes analīzi par sešiem un deviņiem mēnešiem;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sadaļā "Izmaiņas":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pārskata perioda izpildes izmaiņas pret iepriekšējā gada atbilstošā pārskata perioda izpildi, ja finansējuma izmaiņu apmēra novirze (gan pozitīvā, gan negatīvā izteiksmē) pārsniedz 15 procentus un vienlaikus ir lielāka par 20 000 </w:t>
      </w:r>
      <w:r w:rsidR="00000000" w:rsidRPr="00000000" w:rsidDel="00000000">
        <w:rPr>
          <w:i w:val="1"/>
          <w:rtl w:val="0"/>
        </w:rPr>
        <w:t xml:space="preserve">euro</w:t>
      </w:r>
      <w:r w:rsidR="00000000" w:rsidRPr="00000000" w:rsidDel="00000000">
        <w:rPr>
          <w:rtl w:val="0"/>
        </w:rPr>
        <w:t xml:space="preserve"> vai ja minētā novirze nesasniedz 15 procentus, bet ir lielāka par 500 000 </w:t>
      </w:r>
      <w:r w:rsidR="00000000" w:rsidRPr="00000000" w:rsidDel="00000000">
        <w:rPr>
          <w:i w:val="1"/>
          <w:rtl w:val="0"/>
        </w:rPr>
        <w:t xml:space="preserve">euro</w:t>
      </w:r>
      <w:r w:rsidR="00000000" w:rsidRPr="00000000" w:rsidDel="00000000">
        <w:rPr>
          <w:rtl w:val="0"/>
        </w:rPr>
        <w:t xml:space="preserve">. Norāda pasākumus un (vai) aktivitātes (ieteicams līdz piecām vienībām), un iemeslus, kas ir veicinājuši šīs izmaiņas (sadārdzinājums, izmaksu samazināšanās, publisko pakalpojumu apjoma izmaiņas, naudas plūsmas laika nobīde un citi), un, ja ir iespējams novērtēt, katram no tiem norāda finansējuma izmaiņu apmēru </w:t>
      </w:r>
      <w:r w:rsidR="00000000" w:rsidRPr="00000000" w:rsidDel="00000000">
        <w:rPr>
          <w:i w:val="1"/>
          <w:rtl w:val="0"/>
        </w:rPr>
        <w:t xml:space="preserve">euro</w:t>
      </w:r>
      <w:r w:rsidR="00000000" w:rsidRPr="00000000" w:rsidDel="00000000">
        <w:rPr>
          <w:rtl w:val="0"/>
        </w:rPr>
        <w:t xml:space="preserve"> un procentos. Skaidrojumu sniedz, aizpildot budžeta izpildes analīzi par 12 mēnešiem;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programmu 99.00.00 "Līdzekļu neparedzētiem gadījumiem izlietojums" informāciju par izmaiņām nesniedz;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sadaļu "Neizpilde" aizpilda, ja pārskata perioda plāna neizpilde (gan pozitīvā, gan negatīvā izteiksmē) programmā (apakšprogrammā) un (vai) atsevišķi kādā no izdevumu ekonomiskās klasifikācijas kodiem (atbilstoši gadskārtējā valsts budžeta likuma struktūrai) pārsniedz 15 procentus un vienlaikus ir lielāka par 20 000 </w:t>
      </w:r>
      <w:r w:rsidR="00000000" w:rsidRPr="00000000" w:rsidDel="00000000">
        <w:rPr>
          <w:i w:val="1"/>
          <w:rtl w:val="0"/>
        </w:rPr>
        <w:t xml:space="preserve">euro</w:t>
      </w:r>
      <w:r w:rsidR="00000000" w:rsidRPr="00000000" w:rsidDel="00000000">
        <w:rPr>
          <w:rtl w:val="0"/>
        </w:rPr>
        <w:t xml:space="preserve"> vai ja minētā neizpilde nesasniedz 15 procentus, bet ir lielāka par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pasākumus un (vai) aktivitātes, kas ir radījušas ietekmi uz neizpildi, un skaidro būtiskākos neizpildes iemeslus. Ja neizpildes iemesli ir saistīti ar apropriāciju izmaiņām, norāda attiecīgo Finanšu ministrijas rīkojumu numurus. Tām pamatfunkciju programmām (apakšprogrammām), kuras tiek īstenotas pēc projektu principa un kurās būtiskas finansējuma svārstības ir objektīvi atkarīgas no iepriekš neplānotu projektu un to posmu ieviešanas, atsevišķus neizpildes iemeslus par sešiem un deviņiem mēnešiem var neuzskaitīt, bet kopumā skaidrot programmas (apakšprogrammas) mainīgo finansējuma apguvi;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skaidrojumu, kādas ir plānotās darbības finansējuma apguvei gada ietvaros (ja neizpildes iemesli nav saistīti ar apropriāciju izmaiņām) (neattiecas uz tām pamatfunkciju programmām (apakšprogrammām), kuras tiek īstenotas pēc projektu principa un kurās būtiskas finansējuma svārstības ir objektīvi atkarīgas no iepriekš neplānotu projektu un to posmu ieviešanas). Skaidrojumu sniedz, aizpildot budžeta izpildes analīzi par sešiem un deviņiem mēnešiem;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skaidrojumu, kāds ir vērtējums par potenciāli slēdzamajiem asignējumiem gada beigās sadalījumā pa izdevumu ekonomiskās klasifikācijas kodiem atbilstoši gadskārtējā valsts budžeta likuma struktūrai. Skaidrojumu sniedz, aizpildot budžeta izpildes analīzi par sešiem un deviņiem mēnešiem;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skaidrojumu, kā potenciāli slēdzamie asignējumi ietekmē gadskārtējā valsts budžeta paskaidrojumos plānoto darbības rezultatīvo rādītāju vērtību sasniegšanu. Skaidrojumu sniedz, aizpildot budžeta izpildes analīzi par sešiem un deviņiem mēnešiem;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skaidrojumu, kādi ir iemesli, kāpēc slēgtie asignējumi budžeta izpildes laikā netika pārvirzīti citiem mērķiem, kur finansējums ir bijis nepietiekams. Skaidrojumu sniedz, aizpildot budžeta izpildes analīzi par 12 mēnešiem;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skaidrojumu, kāds ir finansējuma apjoms, ja nākamajā gadā potenciāli ir plānots pieprasīt finansējumu no 74. budžeta resora programmas 01.00.00 "Apropriācijas rezerve". Attiecībā uz programmu 99.00.00 "Līdzekļu neparedzētiem gadījumiem izlietojums" šādu informāciju nesniedz. Skaidrojumu sniedz, aizpildot budžeta izpildes analīzi par sešiem un deviņiem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skaidrojumu par Eiropas Savienības politiku instrumentu un pārējās ārvalstu finanšu palīdzības līdzfinansēto un finansēto projektu un pasākumu īstenošanu sadalījumā pa programmām (ja tām nav apakšprogrammu) un apakšprogrammām (ja programma sadalīta apakšprogrammās):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sadaļā "Paveiktais" norāda pārskata periodā paveikto – specifiskā atbalsta mērķus un (vai) pasākumus, un (vai) projektus (izvēlas apakšprogrammai atbilstošāko) (ieteicams līdz piecām vienībām), kas visuzskatāmāk sniedz informāciju par finansējuma izlietojumu, un apraksta pārskata periodā tajos paveiktās darbības un (vai) sasniegumus (ieteicams līdz piecām vienībām katrā), aptverot būtisku daļu no kopējā pārskata periodā izlietotā finansējuma un uzsverot lietderību un ieguldījumu sabiedrības un nozares interesēs. Skaidrojumu sniedz, aizpildot budžeta izpildes analīzi par 12 mēnešiem;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sadaļu "Neizpilde" aizpilda, ja pārskata perioda plāna neizpilde programmā (apakšprogrammā) un (vai) atsevišķi kādā no izdevumu ekonomiskās klasifikācijas kodiem (atbilstoši gadskārtējā valsts budžeta likuma struktūrai) pārsniedz 15 procentus un vienlaikus ir lielāka par 20 000 </w:t>
      </w:r>
      <w:r w:rsidR="00000000" w:rsidRPr="00000000" w:rsidDel="00000000">
        <w:rPr>
          <w:i w:val="1"/>
          <w:rtl w:val="0"/>
        </w:rPr>
        <w:t xml:space="preserve">euro</w:t>
      </w:r>
      <w:r w:rsidR="00000000" w:rsidRPr="00000000" w:rsidDel="00000000">
        <w:rPr>
          <w:rtl w:val="0"/>
        </w:rPr>
        <w:t xml:space="preserve"> vai ja minētā neizpilde nesasniedz 15 procentus, bet ir lielāka par 500 000 </w:t>
      </w:r>
      <w:r w:rsidR="00000000" w:rsidRPr="00000000" w:rsidDel="00000000">
        <w:rPr>
          <w:i w:val="1"/>
          <w:rtl w:val="0"/>
        </w:rPr>
        <w:t xml:space="preserve">euro</w:t>
      </w:r>
      <w:r w:rsidR="00000000" w:rsidRPr="00000000" w:rsidDel="00000000">
        <w:rPr>
          <w:rtl w:val="0"/>
        </w:rPr>
        <w:t xml:space="preserve">. Skaidrojumu sniedz, aizpildot budžeta izpildes analīzi par 12 mēnešiem: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specifiskā atbalsta mērķus un (vai) pasākumus, un (vai) projektus, kas ir radījuši ietekmi uz neizpildi, un skaidro būtiskākos neizpildes iemeslus;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skaidrojumu, kādi ir iemesli, kāpēc slēgtie asignējumi budžeta izpildes laikā netika pārvirzīti citu projektu un pasākumu īstenošanai, kur finansējums ir bijis nepietiekams un ir bijis pieprasīts no 74. budžeta resora programmas 80.00.00 "Nesadalītais finansējums Eiropas Savienības politiku instrumentu un pārējās ārvalstu finanšu palīdzības līdzfinansēto projektu un pasākumu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sadaļā "Citi jautājumi":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vai plānots pieprasīt papildu finansējumu no 74. budžeta resora programmas 80.00.00 "Nesadalītais finansējums Eiropas Savienības politiku instrumentu un pārējās ārvalstu finanšu palīdzības līdzfinansēto projektu un pasākumu īstenošanai". Ja ir plānots, norāda finansējuma apmēru un skaidrojumu. Informāciju sniedz, aizpildot budžeta izpildes analīzi par sešiem un deviņiem mēnešiem;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norāda citus analītiskos skaidrojumus, tai skaitā atbildes uz Finanšu ministrijas papildu jautājumiem.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Veidlapā "Mērķfinansējuma izpildes analīze" ministrijas analizē un sniedz skaidrojumu par mērķfinansējuma ieņēmumu un izdevumu plānu izpildi pārskata periodā. Ja informācija par faktisko izpildi pārskata periodā nav pieejama, sniedz izpildes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aiļu grupu "Ieņēmumi" – budžeta klasifikācijas kods un nosaukums, mērķfinansējuma nosaukums, plāns un izpilde (vai izpildes novērtējums) </w:t>
      </w:r>
      <w:r w:rsidR="00000000" w:rsidRPr="00000000" w:rsidDel="00000000">
        <w:rPr>
          <w:i w:val="1"/>
          <w:rtl w:val="0"/>
        </w:rPr>
        <w:t xml:space="preserve">euro</w:t>
      </w:r>
      <w:r w:rsidR="00000000" w:rsidRPr="00000000" w:rsidDel="00000000">
        <w:rPr>
          <w:rtl w:val="0"/>
        </w:rPr>
        <w:t xml:space="preserve"> un procentos;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aiļu grupu "Izdevumi" – programmas (apakšprogrammas) kods un nosaukums, plāns un izpilde (vai izpildes novērtējums) </w:t>
      </w:r>
      <w:r w:rsidR="00000000" w:rsidRPr="00000000" w:rsidDel="00000000">
        <w:rPr>
          <w:i w:val="1"/>
          <w:rtl w:val="0"/>
        </w:rPr>
        <w:t xml:space="preserve">euro</w:t>
      </w:r>
      <w:r w:rsidR="00000000" w:rsidRPr="00000000" w:rsidDel="00000000">
        <w:rPr>
          <w:rtl w:val="0"/>
        </w:rPr>
        <w:t xml:space="preserve"> un procentos;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aizpilda aili "Novirze";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ailē "Novirzes skaidrojums":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iespējams, norāda pasākumus, kuri tiks veikti, lai nodrošinātu plānoto ieņēmumu izpildi, ja ieņēmumu neizpilde pārsniedz 15 procentus un vienlaikus ir lielāka par 20 000 </w:t>
      </w:r>
      <w:r w:rsidR="00000000" w:rsidRPr="00000000" w:rsidDel="00000000">
        <w:rPr>
          <w:i w:val="1"/>
          <w:rtl w:val="0"/>
        </w:rPr>
        <w:t xml:space="preserve">euro</w:t>
      </w:r>
      <w:r w:rsidR="00000000" w:rsidRPr="00000000" w:rsidDel="00000000">
        <w:rPr>
          <w:rtl w:val="0"/>
        </w:rPr>
        <w:t xml:space="preserve"> vai ja minētā neizpilde nesasniedz 15 procentus, bet ir lielāka par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skaidrojumu par ieņēmumu un izdevumu plānu izpildi, ja procentuālā ieņēmumu pret izdevumiem novirze pārsniedz 15 procentus (gan pozitīvā, gan negatīvā izteiksmē);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sniedz papildu informāciju un apraksta pieņēmumus, uz kuriem balstīts analītiski iegūtais novērtējums;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ailē "MK lēmums" norāda atbilstošo Ministru kabineta lēmumu saskaņā ar šīs instrukcijas </w:t>
      </w:r>
      <w:r w:rsidR="00000000" w:rsidRPr="00000000" w:rsidDel="00000000">
        <w:rPr>
          <w:rtl w:val="0"/>
        </w:rPr>
        <w:t xml:space="preserve">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Veidlapā "Valsts sociālo pabalstu, izdienas pensiju, valsts atbalsta sociālajai apdrošināšanai, valsts speciālā budžeta sociālo pabalstu un iemaksu valsts pensiju, invaliditātes apdrošināšanai un apdrošināšanai bezdarba gadījumā izpilde" Labklājības ministrija norāda informāciju par pabalstu un pensiju saņēmēju skaitu vidēji mēnesī, pabalsta (atlīdzības) un pensijas izmaksas apmēru vidēji mēnesī un par naudas plūsmas izdevumiem atsevišķi katram izdevumu veidam n–1 un n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Veidlapā "Rezultātu, to rezultatīvo rādītāju un prioritāro pasākumu izpildes analīze" ministrijas vidējam termiņam norāda rezultatīvos rādītājus, kas norādīti likumam par valsts budžetu kārtējam gadam un vidēja termiņa budžeta ietvaru pievienotajos paskaidrojumos (politikas un resursu vadības kartēs, prioritāro pasākumu tabulā un budžeta programmu (apakšprogrammu) sadaļā), un sniedz informāciju par valsts budžeta rezultātu, to rezultatīvo rādītāju un prioritāro pasākumu izpildi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aili "Politikas un resursu vadības kartes numurs un nosaukums" aizpilda rindās, kurās sniedz skaidrojumu par politikas un resursu vadības kartes (turpmāk – karte) politikas rezultatīvajiem rādītājiem, raksturojošākiem darbības rezultatīvajiem rādītājiem un kvalitātes rādītājiem, norādot kartes numuru un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aili "Prioritārā pasākuma numurs un nosaukums" aizpilda rindās, kurās sniedz skaidrojumu par prioritāro pasākumu darbības rezultatīvajiem rādītājiem, amata vietām, izdevumiem un ieņēmumiem, norādot prioritārā pasākuma numuru un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aili "Programmas (apakšprogrammas) numurs un nosaukums" aizpilda rindās, kurās sniedz skaidrojumu par šīs programmas (apakšprogrammas) darbības rezultatīvajiem rādītājiem, un rindās, kurās sniedz informāciju par prioritārajiem pasākumiem, norādot attiecīgās programmas (apakšprogrammas) numuru un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ailē "Darbības rezultāts" norāda darbības rezultāta nosaukumu, kas attiecas uz programmu (apakšprogrammu) darbības rezultatīvajiem rādītājiem un prioritāro pasākumu darbības rezultatīvajiem rādītājiem, amata vietām, izdevumiem un ieņēmumiem, kā arī raksturojošākiem darbības rezultatīvajiem rādītājiem, ja ir pieejama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ailē "Rādītāja veids" norāda šādus rādītāju apzīmējumus: politikas rezultatīvie rādītāji – POLRR, raksturojošākie darbības rezultatīvie rādītāji – RDRR, kvalitātes rādītāji – KV, prioritāro pasākumu darbības rezultatīvie rādītāji – PPDRR, prioritāro pasākumu amata vietas – PPA, prioritāro pasākumu izdevumi – PPIzd, prioritāro pasākumu ieņēmumi – PPIe, programmu (apakšprogrammu) darbības rezultatīvie rādītāji – DRR;</w:t>
      </w:r>
      <w:r w:rsidR="00000000" w:rsidRPr="00000000" w:rsidDel="00000000">
        <w:rPr>
          <w:u w:val="single"/>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ailē "Rādītāja nosaukums" norāda atbilstošā rādītāja nosaukumu, iekavās norādot mērvienību;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ailē "Mērvienība" atsevišķi norāda rādītāja mērvienību;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ailē "Gads" norāda rādītāja plāna vērtības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ailē "Plānotā vērtība" norāda plānoto rādītāja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ailē "Izpildes vērtība" norāda rādītāja faktisko izpildi pārskata periodā. Ja rezultatīvajiem rādītājiem nav iespējams norādīt rādītāja izpildi pārskata periodam, norāda rādītāja pēdējo pieejamo faktisko izpildi, ailē "Iemesli/faktori, kas ir noteikuši izpildi/neizpildi" sniedzot informāciju par gadu, par kuru norādīta rādītāja pēdējā pieejamā faktiskā izpilde;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ailē "Izpilde: sievietes" un ailē "Izpilde: vīrieši" norāda rezultatīvo rādītāju izpildi dalījumā pēc dzimuma, ja rezultatīvā rādītāja mērvienība ir personu skaits un ja ministriju iekšējā uzskaitē ir pieejama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ailē "Izpildes/novērtējuma novirze no plānotās vērtības, %" aprēķina rādītāja vērtības pārskata periodā faktiskās izpildes procentuālo novirzi no pārskata periodam plānotās rādītāja vērtības. Ja pārskata periodā faktiskās izpildes procentuālā novirze no kārtējam gadam plānotās rādītāja vērtības pārsniedz 15 procentus (gan pozitīvā, gan negatīvā izteiksmē), sniedz atbildes uz turpmākajās ailēs norādītajiem jautājumiem. Papildus sniedz skaidrojumu par tiem rādītājiem, kurus ministrija uzskata par būtiskiem skaidrojumu sniegšanai. Ja pārskata perioda prioritāro pasākumu izdevumu izpildes novirze pārsniedz 15 procentus vai ir lielāka par 500 000 </w:t>
      </w:r>
      <w:r w:rsidR="00000000" w:rsidRPr="00000000" w:rsidDel="00000000">
        <w:rPr>
          <w:i w:val="1"/>
          <w:rtl w:val="0"/>
        </w:rPr>
        <w:t xml:space="preserve">euro</w:t>
      </w:r>
      <w:r w:rsidR="00000000" w:rsidRPr="00000000" w:rsidDel="00000000">
        <w:rPr>
          <w:rtl w:val="0"/>
        </w:rPr>
        <w:t xml:space="preserve">, sniedz atbildes uz turpmākajās ailēs norādītajiem jautājumiem;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ailē "Iemesli/faktori, kas ir noteikuši izpildi/neizpildi" sniedz skaidrojumu par būtiskajiem iemesliem un faktoriem, kuri ir ministrijas ietekmē;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ailē "Izdarītais, lai sasniegtu plānoto vērtību" sniedz skaidrojumu par izdarīto (piemēram, veikts pētījums, ieviesta reforma, apmācīts personāls);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ailē "Priekšlikumi rādītāja neizpildes novēršanai" sniedz skaidrojumu, ja izpildes procentuālā novirze ir negatīva;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ailē "Ārējie faktori, kas radījuši ietekmi uz rādītāja izpildi/novērtējumu" sniedz skaidrojumu par ārējo faktoru ietekmi (piemēram, iedzīvotāju skaita izmaiņas, pieejamie informācijas un komunikācijas tehnoloģiju risinājumi);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aili "Prioritārā pasākuma mērķis" aizpilda rindā, kurā tiek skaidroti prioritāro pasākumu izdevumi (PPIzd), – norāda prioritārā pasākuma mērķi, kas ir minēts prioritārā pasākuma pieteikumā vidējam termiņam;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aili "Prioritārā pasākuma mērķa sasniegšana vai virzība uz mērķi" aizpilda rindā, kurā tiek skaidroti prioritāro pasākumu izdevumi (PPIzd), – sniedz skaidrojumu par prioritārā pasākuma mērķa sasniegšanu vai virzību uz mērķi un sabiedrībai sniegto labumu.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Šīs instrukcijas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minētajā izpildes veidlapā prioritāro pasākumu rādītāju izpildi analizē trīs gadus pēc kārtas, sākot ar gadu, kad tie norādīti budžeta paskaidrojumos prioritāro pasākumu tabulā. Terminēto prioritāro pasākumu rādītāju izpildi norāda trīs gadus vai mazāk, ja prioritāro pasākumu plānots uzsākt vēlāk vai pabeigt ātrāk. Neterminēto prioritāro pasākumu rādītāju izpildi norāda trīs gadus vai mazāk, ja prioritāro pasākumu plānots uzsākt vēlāk. Rādītāju "prioritāro pasākumu ieņēmumi" norāda, ja ministriju iekšējā uzskaitē ir pieejama šāda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zaudējušu Ministru kabineta 2011. gada 23. augusta instrukciju Nr. 8 "Instrukcija par valsts budžeta izpildes analīzi" (Latvijas Vēstnesis, 2011, 134. nr.; 2012, 81. nr.; 2013, 194.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Aizpildot veidlapu "Mērķfinansējuma izpildes analīze", analīzi veic par mērķfinansējumu, par kura piešķiršanu lēmumi bija pieņemti 2017. gadā un turpmākajos gados.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Aizpildot veidlapu "Rezultātu un to rezultatīvo rādītāju izpildes analīze", analīzi veic par prioritārajiem pasākumiem, par kuriem finansējuma piešķiršanas lēmumi bija pieņemti 2017. gadā un turpmākajos gados.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Instrukcijas konsolidētā versija 24-TA-2422</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Instrukcijas konsolidētā versija 24-TA-2422</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instrukcijas_konsolidētā_versija_24-TA-2422.docx</dc:title>
</cp:coreProperties>
</file>

<file path=docProps/custom.xml><?xml version="1.0" encoding="utf-8"?>
<Properties xmlns="http://schemas.openxmlformats.org/officeDocument/2006/custom-properties" xmlns:vt="http://schemas.openxmlformats.org/officeDocument/2006/docPropsVTypes"/>
</file>