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Sodu reģistrā pārbaudāmās ziņas, lai personu reģistrētu būvinspektoru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03.11.2020. noteikumu Nr. 657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Noziedzīgi nodarījumi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Zādzība (Krimināllikuma 175.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Krāpšana (Krimināllikuma 177.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Piesavināšanās (Krimināllikuma 179.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Zādzība, krāpšana, piesavināšanās nelielā apmērā (Krimināllikuma 180.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Noziedzīgi iegūtu līdzekļu legalizēšana (Krimināllikuma 195.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Neatļauta labumu pieņemšana (Krimināllikuma 198.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pilnvaru pārsniegšana (Krimināllikuma 317.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stāvokļa ļaunprātīga izmantošana (Krimināllikuma 318.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amatpersonas bezdarbība (Krimināllikuma 319.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Kukuļņemšana (Krimināllikuma 320.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Kukuļa piesavināšanās (Krimināllikuma 321.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Starpniecība kukuļošanā (Krimināllikuma 322.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Kukuļdošana (Krimināllikuma 323.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amatpersonai noteikto ierobežojumu pārkāpšana (Krimināllikuma 325.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Neatļauta piedalīšanās mantiskos darījumos (Krimināllikuma 326.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Tirgošanās ar ietekmi (Krimināllikuma 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Prettiesiska labumu pieprasīšana un pieņemšana (Krimināllikuma 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Prettiesiska labumu došana (Krimināllikuma 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viltojums (Krimināllikuma 327.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Nepatiess dienesta ziņojums (Krimināllikuma 328.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Neizpaužamu ziņu izpaušana (Krimināllikuma 329.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Neizpaužamu ziņu izpaušana pēc amata atstāšanas (Krimināllikuma 330. pants)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