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14. aprīlī (prot. Nr. 20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25. augusta noteikumos Nr. 538 "Kārtība, kādā valsts finansē darba samaksu pedagogiem privātajās izglītības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3. punktu un 59. panta otro daļu,</w:t>
      </w:r>
      <w:r>
        <w:br/>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4. panta 3.</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 un</w:t>
      </w:r>
      <w:r>
        <w:br/>
      </w:r>
      <w:r w:rsidR="00000000" w:rsidRPr="00000000" w:rsidDel="00000000">
        <w:rPr>
          <w:rStyle w:val="paragraph"/>
          <w:i w:val="1"/>
          <w:rtl w:val="0"/>
        </w:rPr>
        <w:t xml:space="preserve">Starptautisko skolu likuma</w:t>
      </w:r>
      <w:r w:rsidR="00000000" w:rsidRPr="00000000" w:rsidDel="00000000">
        <w:rPr>
          <w:rStyle w:val="paragraph"/>
          <w:i w:val="1"/>
          <w:rtl w:val="0"/>
        </w:rPr>
        <w:t xml:space="preserve"> 14.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25. augusta noteikumos Nr. 538 "Kārtība, kādā valsts finansē darba samaksu pedagogiem privātajās izglītības iestādēs" (Latvijas Vēstnesis, 2020, 165. nr.; 2021, 52., 167A. nr.; 2022, 129. nr.; 2024, 162.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Izglītības un zinātnes ministrija aprēķina valsts budžeta dotācijas (turpmāk – dotācija) apmēru pedagogu darba samaksai un valsts sociālās apdrošināšanas obligātajām iemaksām izglītības iestādēm, kas īsteno šo noteikumu 1.1. apakšpunktā minētās izglītības programmas, izņemot licencētas profesionālās pamatizglītības programmas, arodizglītības un profesionālās vidējās izglītības programmas, atbilstoši normatīvajam aktam par kārtību, kādā aprēķina un sadala valsts budžeta mērķdotāciju pedagogu darba samaksai pašvaldību vispārējās izglītības iestādēs un valsts augstskolu vispārējās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26-TA-33</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26-TA-33</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noteikumu_(grozījumu)_projekts_26-TA-33.docx</dc:title>
</cp:coreProperties>
</file>

<file path=docProps/custom.xml><?xml version="1.0" encoding="utf-8"?>
<Properties xmlns="http://schemas.openxmlformats.org/officeDocument/2006/custom-properties" xmlns:vt="http://schemas.openxmlformats.org/officeDocument/2006/docPropsVTypes"/>
</file>