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23. maija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pašvaldību ceļu būvniecībai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4"/>
        <w:gridCol w:w="5396"/>
        <w:gridCol w:w="3670"/>
        <w:tblGridChange w:id="0">
          <w:tblGrid>
            <w:gridCol w:w="124"/>
            <w:gridCol w:w="5396"/>
            <w:gridCol w:w="36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nosaukums un informācija par tā ietvaros īstenojamiem darbiem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investīciju projekta atbilstību pašvaldības attīstības programmas investīciju plānam, tai skaitā informācija, kas pamato investīciju projektā plānoto pasākumu atbilstību investīciju projekta mērķim, informācija par pieņemtu domes lēmumu, kas apliecina pašvaldības gatavību īstenot investīciju projektu, tai skaitā nodrošināt pašvaldības budžeta līdzfinansējumu atbilstoši </w:t>
            </w:r>
            <w:r w:rsidR="00000000" w:rsidRPr="00000000" w:rsidDel="00000000">
              <w:rPr>
                <w:rtl w:val="0"/>
              </w:rPr>
              <w:t xml:space="preserve">likuma </w:t>
            </w:r>
            <w:r w:rsidR="00000000" w:rsidRPr="00000000" w:rsidDel="00000000">
              <w:rPr>
                <w:rtl w:val="0"/>
              </w:rPr>
              <w:t xml:space="preserve">''Par valsts budžetu 2023. gadam un budžeta ietvaru 2023., 2024. un 2025. gadam'' </w:t>
            </w:r>
            <w:r w:rsidR="00000000" w:rsidRPr="00000000" w:rsidDel="00000000">
              <w:rPr>
                <w:rtl w:val="0"/>
              </w:rPr>
              <w:t xml:space="preserve">36. panta pirmās daļas 7.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rezultātiem, kas tiks sasniegti, īstenojot investīciju projektu, kā arī informācija par to, kā tiks nodrošināta investīciju projekta uzturēšana un ilgtspēja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kopējās izmaksas, tai skaitā šo izmaksu sadalījums pa finanšu avotiem – pašvaldības budžets un valsts budžeta aizdevums sadalījumā pa gadiem (2023.–2025.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īstenošanas termiņš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tehniskā gatavība un būvniecības informācijas sistēmā esošās būvniecības lietas numurs, ja investīciju projektā plānotajiem būvdarbiem ir izdota būvatļauja  autoceļa vai ielas būvniecībai  ar būvvaldes atzīmi par projektēšanas nosacījumu izpildi vai paskaidrojuma raksts transporta būvju atjaunošanai ar izdarītu atzīmi par būvniecības ieceres akceptu, vai būvvaldes izdots apliecinājums, ka atjaunošanai paredzētajiem darbiem (virskārtas atjaunošanai) nav nepieciešama būvniecības dokumentācija un  investīciju projektam pievienots būves defektu akts, darbu daudzumu saraksts, ceļu specifikācijas uzdevuma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investīciju projekta īstenošanai veiktajām iepirkumu procedūrām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apliecinājums, ka investīciju projektā plānotie pasākumi netika un netiek finansēti, kā arī nav apstiprināta to finansēšana no Eiropas Savienības struktūrfondu līdzekļiem vai no citiem Eiropas Savienības politiku un ārvalstu finanšu palīdzības instrumentiem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investīciju projekta iesniegumā ietvertā objekta vizuālo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objekts ir vai tā sastāvā ietilpst tilts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investīciju projekts radīs labvēlīgus apstākļus gājējiem, mikromobilitātes rīku izmantošanai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objekts ietilpst sabiedriskā transporta vai skolēnu pārvadāšanas maršrutā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objekts nodrošina piekļūšanu pašvaldībai būtiskam saimnieciskam uzņēmumam, pakalpojumu sniedzējam vai pašvaldības infrastruktūras objektiem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saistītajiem projektiem, ja tāda ir, norādot informāciju par citiem iepriekšējo piecu gadu laikā pabeigtiem, īstenošanā esošiem vai plānotiem Eiropas Savienības struktūrfondu projektiem, Eiropas Savienības politiku un ārvalstu finanšu palīdzības instrumentu projektiem un citu finanšu instrumentu investīciju projektiem, ar kuriem ir saskatāma papildināmība un demarkācija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kontaktpersona (vārds, uzvārds, e-pasts, 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23-TA-581</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23-TA-581</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rīkojuma_projekts_p_23-TA-581.docx</dc:title>
</cp:coreProperties>
</file>

<file path=docProps/custom.xml><?xml version="1.0" encoding="utf-8"?>
<Properties xmlns="http://schemas.openxmlformats.org/officeDocument/2006/custom-properties" xmlns:vt="http://schemas.openxmlformats.org/officeDocument/2006/docPropsVTypes"/>
</file>