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72.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1477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03.13.00 "Studiju virzienu akreditācija", lai, pamatojoties uz Ukrainas civiliedzīvotāju atbalsta likumu, no 2024. gada 1. janvāra līdz 2024. gada 31. decembrim sniegtu atbalstu Ukrainas civiliedzīvotājiem iepriekšējās izglītības atzīšanai.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kas nepārsniedz 210 000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03.01.00 "Augstākās izglītības programmu nodrošināšana", lai, pamatojoties uz Ukrainas civiliedzīvotāju atbalsta likumu, no 2024. gada 1. janvāra līdz 2024. gada 31. decembrim nodrošinātu Ukrainas civiliedzīvotājiem studiju un pētniecības stipendijas.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kas nepārsniedz 108 000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05.01.00. "Zinātniskās darbības nodrošināšana", lai, pamatojoties uz Ukrainas civiliedzīvotāju atbalsta likumu, no 2024. gada 1. janvāra līdz 2024. gada 30. jūnijam nodrošinātu Ukrainas civiliedzīvotājiem pētniecības stipendijas.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24-TA-1639</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24-TA-1639</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rīkojuma_projekts_24-TA-1639.docx</dc:title>
</cp:coreProperties>
</file>

<file path=docProps/custom.xml><?xml version="1.0" encoding="utf-8"?>
<Properties xmlns="http://schemas.openxmlformats.org/officeDocument/2006/custom-properties" xmlns:vt="http://schemas.openxmlformats.org/officeDocument/2006/docPropsVTypes"/>
</file>