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kura sniedz konsultāciju pakalpojumus lauksaimniecības un mežsaimniecības jomā, kurai ir vismaz trīs gadu darba pieredze konsultāciju sniegšanā un nav komerciālas intereses par lauksaimnieciskajā ražošanā izmantojamās tehnikas vai ķīmisko un bioloģisko materiālu reklamēšanu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intervencē nozares līmeņa projektiem prioritāri sniedz ar Lauksaimniecības, zivsaimniecības, pārtikas un meža nozares zināšanu un inovāciju stratēģisko vadības padomi saskaņotās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tiesību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(noslēguma pārskata iesniegšanas) radīto jauno produktu, praksi, procesu vai jauno tehnoloģiju var izmantot komerciāliem mērķiem. Projektā radītie digitālie risinājumi ir brīvi pieejami lietotājiem, un tos var brīvi izplatīt bez ekskluzivitātes un diskriminēšanas, piemēram, izmantojot mācīšanu, brīvas piekļuves datubāzes, atklātās publikācijas vai atklātā pirmkoda programmatūru, un no tiem nevar gūt peļņu.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un sadarbības partneri ir īstenojuši, īsteno vai plāno īstenot citus projektus, projekta iesniegumā norāda informāciju par visiem projektiem un skaidro dubultā finansējuma riska novēršanu saistībā ar šajā projektā paredzēto: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eksperimentālo izstrādi, kas ir esošo zinātnisko atziņu, tehnoloģisko, darījumdarbības un citu attiecīgu zināšanu un prasmju iegūšana, kombinēšana, modelēšana un izmantošana, lai radītu jaunus vai uzlabotus produktus, procesus vai pakalpojumus. Tajā var ietilpt arī, piemēram, darbības, kuru mērķis ir jaunu produktu, procesu vai pakalpojumu konceptuāla noteikšana, plānošana un dokumentēšana. Eksperimentālā izstrāde var ietvert prototipu izgatavošanu, demonstrējumus, izmēģinājumprojektus, jaunu vai uzlabotu produktu, procesu vai pakalpojumu testēšanu un validēšanu vidē, kas atspoguļo reālus darbības apstākļus, ja galvenais mērķis ir tehniski uzlabot produktus, procesus vai pakalpojumus, kuri vēl nav pietiekami stabilizējušies. Tā var ietvert tāda komerciāli izmantojama prototipa izgatavošanu vai izmēģinājumprojekta izstrādi, kurš ir gala komercprodukts un kura ražošana ir pārāk dārga, lai to izmantotu vienīgi demonstrējumu un validēšanas nolūkā. Eksperimentālā izstrāde neietver ierastās vai regulārās izmaiņas, kas skar esošos produktus, ražošanas līnijas, ražošanas procesus, pakalpojumus un citas operācijas darbības procesā, pat ja minētās izmaiņas ir pielīdzināmas uzlabojumiem;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tehnoloģiju, kas ir iekārta vai integrēta ražošanas līnija, kas sastāv no vairākiem komponentiem vai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kas ir plānveida pētījumi vai nozīmīgs izpētes darbs, kura mērķis ir iegūt jaunas zināšanas un prasmes jaunu produktu, procesu vai pakalpojumu radīšanai vai jau esošo produktu, procesu vai pakalpojumu būtiskai uzlabošanai. Tas ietver kompleksu sistēmu komplektējošo daļu radīšanu un var ietvert prototipu veidošanu laboratorijas vidē vai vidē, kurā tiek simulētas saskarnes ar pastāvošām sistēmām, kā arī izmēģinājuma līniju radīšanu, ja tas nepieciešams rūpnieciskajiem pētījumiem, jo īpaši nepatentētu tehnoloģiju validēšanai.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piegāžu vai pakalpojuma sniedzēju vadošais partneris iesniedz saskaņošanai Lauku atbalsta dienestā iepirkumu dokumentāciju, tostarp cenu aptauju. Projektā plānotās darbības uzsāk un līgumu ar piegāžu vai pakalpojuma sniedzēju noslēdz pēc saskaņojuma saņemšanas no Lauku atbalsta dienesta. Šo nosacījumu atbalsta pretendentam nepiemēro, ja iepirkuma kopējā summa nepārsniedz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2022/2472 2. panta 34. punktā vai 1. pielikumā noteiktajai definīcijai. Atbalstu šajā intervencē nepiešķir valsts tiešās pārvaldes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sniegtais atbalsts par vienām un tām pašām attiecināmajām izmaksām nepārklājas ar atbalstu no citām līdzīgām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šajā skaitā neietverot pētniecības organizācijas. Nozares līmeņa un saimniecības līmeņa projektiem darba grupas vērtē atsevišķi.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puses.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dažādām šo noteikumu 22. punktā minētajām personām, no kurām vismaz viens ir lauksaimnieks vai mežsaimnieks un kuras savstarpēji nav saistītas, ievērojot šo noteikumu </w:t>
      </w:r>
      <w:r w:rsidR="00000000" w:rsidRPr="00000000" w:rsidDel="00000000">
        <w:rPr>
          <w:rtl w:val="0"/>
        </w:rPr>
        <w:t xml:space="preserve">20.</w:t>
      </w:r>
      <w:r w:rsidR="00000000" w:rsidRPr="00000000" w:rsidDel="00000000">
        <w:rPr>
          <w:rtl w:val="0"/>
        </w:rPr>
        <w:t xml:space="preserve"> punkta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grupai ir iekšējā lēmumu pieņemšanas kārtība, kas nodrošina lēmumu pieņemšanas caurskatāmību un novērš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6. punktā minētajās jomās, kā arī citās jomās Eiropas Inovāciju partnerības mērķu sasniegšanai saskaņā ar regulas 2021/2115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šo noteikumu </w:t>
      </w:r>
      <w:r w:rsidR="00000000" w:rsidRPr="00000000" w:rsidDel="00000000">
        <w:rPr>
          <w:rtl w:val="0"/>
        </w:rPr>
        <w:t xml:space="preserve">23.4.</w:t>
      </w:r>
      <w:r w:rsidR="00000000" w:rsidRPr="00000000" w:rsidDel="00000000">
        <w:rPr>
          <w:rtl w:val="0"/>
        </w:rPr>
        <w:t xml:space="preserve"> apakšpunktā noteikto iekšējās procedūras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ieviešanu praksē;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bet pētniecības organizācija vai konsultants – ne vairāk kā 10 darba grupu projektos. Šis nosacījums neattiecas uz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w:t>
      </w:r>
      <w:r w:rsidR="00000000" w:rsidRPr="00000000" w:rsidDel="00000000">
        <w:rPr>
          <w:rtl w:val="0"/>
        </w:rPr>
        <w:t xml:space="preserve"> punktam sarindo atsevišķi. Saskaņā ar šo noteikumu </w:t>
      </w:r>
      <w:r w:rsidR="00000000" w:rsidRPr="00000000" w:rsidDel="00000000">
        <w:rPr>
          <w:rtl w:val="0"/>
        </w:rPr>
        <w:t xml:space="preserve">7.</w:t>
      </w:r>
      <w:r w:rsidR="00000000" w:rsidRPr="00000000" w:rsidDel="00000000">
        <w:rPr>
          <w:rtl w:val="0"/>
        </w:rPr>
        <w:t xml:space="preserve"> punktu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Projekta novērtēšanā var piesaistīt Eiropas Komisijas ekspertu datubāzē iekļautu ekspertu ar atbilstošu izglītību, profesionālo pieredzi un kompetenci.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ekspertu vērtējums projekta kvalitātei ir zemāks par noteikto minimālo punktu skaitu, projekts ir noraidāms.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viena mēneša laikā pēc projekta apstiprināšanas iesniedz Lauku atbalsta dienestā projekta kopsavilkumu, tostarp angļu valodā, un Zemkopības ministrija to nosūta Eiropas Komisijai saskaņā ar Komisijas 2022. gada 6. septembra Īstenošanas regulas (ES) 2022/1475,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šo noteikumu 38. punktā minēto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projektu pēc tā īstenošanas, ietverot arī projekta laikā notikušā pētījuma materiālus, publicē Eiropas Inovāciju partnerības tīkla Sekretariāta tīmekļvietnē. Darba grupa projekta rezultātus apraksta un izplata bez ekskluzivitātes un diskriminēšanas, tostarp izmantojot mācīšanu, brīvas piekļuves datubāzes, atklātas publikācijas vai atklātā pirmkoda programmatūru. Projekta rezultātu aprakstā iekļauj šo noteikumu </w:t>
      </w:r>
      <w:r w:rsidR="00000000" w:rsidRPr="00000000" w:rsidDel="00000000">
        <w:rPr>
          <w:rtl w:val="0"/>
        </w:rPr>
        <w:t xml:space="preserve">38.</w:t>
      </w:r>
      <w:r w:rsidR="00000000" w:rsidRPr="00000000" w:rsidDel="00000000">
        <w:rPr>
          <w:rtl w:val="0"/>
        </w:rPr>
        <w:t xml:space="preserve"> punktā prasīto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tiek piemērota atbalsta intensitāte 40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norādot pieprasītās priekšapmaksas apmēru un sadalījumu starp partneriem. Priekšapmaksu var pieprasīt vienu reizi projekta īstenošanas laikā līdz pirmā maksājuma pieprasījuma iesniegšanai. Priekšapmaksa nepārsniedz 10 procentus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49. punktā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atbalsta saņēmējs saņem pēc projekta iesniegumā paredzēto ieguldījumu īstenošanas, projekta rezultātu publiskošanas saskaņā ar šo noteikumu 40. punktu un maksājuma pieprasījuma iesniegšanas Lauku atbalsta dienestā. Pēdējo maksājuma pieprasījumu iesniedz kopā ar gala pārskatu par projekta īstenošanas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2022/2472 40. panta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2022/2472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informāciju par izmaksāto atbalstu glabā 10 gadus no atbalsta saņemšanas dienas, bet Lauku atbalsta dienests – 10 gadus no dienas, kad piešķirts pēdējais atbalsts saskaņā ar šiem noteikumiem, atbilstoši regulas 2022/2472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2022/2472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2022/2472 prasības, Lauku atbalsta dienests uzliek par pienākumu atbalsta saņēmējam atmaksāt Lauku atbalsta dienestam nelikumīgi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Darba likuma 59. panta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53.1.8. apakšpunkta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attiecīgie pakalpojumi tiek izmantoti tikai projekta mērķu sasniegšanai. Tādu ārējo pakalpojumu izmaksas, kas saistītas ar informācijas tehnoloģijas pakalpojumiem, nepārsniedz 50 procentus no attiecināmo izmaksu kopsummas;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w:t>
      </w:r>
      <w:r w:rsidR="00000000" w:rsidRPr="00000000" w:rsidDel="00000000">
        <w:rPr>
          <w:rtl w:val="0"/>
        </w:rPr>
        <w:t xml:space="preserve"> apakšpunktā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2021/695,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w:t>
      </w:r>
      <w:r w:rsidR="00000000" w:rsidRPr="00000000" w:rsidDel="00000000">
        <w:rPr>
          <w:rtl w:val="0"/>
        </w:rPr>
        <w:t xml:space="preserve"> apakšpunktā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w:t>
      </w:r>
      <w:r w:rsidR="00000000" w:rsidRPr="00000000" w:rsidDel="00000000">
        <w:rPr>
          <w:rtl w:val="0"/>
        </w:rPr>
        <w:t xml:space="preserve"> apakšpunktā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53.1.9. apakšpunktā minētās iekārtas ieņēmumu gūšanai, Lauku atbalsta dienests pieprasa atmaksāt pārmaksāto atbalstu par ieguldītajām investīcijām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Starpvalstu sadarbība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Starpvalstu sadarbības mērķis ir veicināt kvalitatīvu pieredzes apmaiņu inovatīvu starpvalstu sadarbības projektu īstenošanā.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Starpvalstu sadarbības projektā atbalsta pretendents ir darba grupa, kas piedalās starpvalstu sadarbības projektā un atbilst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Darba grupa var pieteikties uz atbalstu, lai finansētu piedalīšanos starpvalstu sadarbības projektā, kurā tā piedalās kā darba grupas partneris vai vadošais partneris, ja starpvalstu sadarbības projekta izmaksas sedz divas vai vairākas 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Starpvalstu sadarbības projektos vadošais partneris ir persona, kura koordinē starpvalstu sadarbības projekta īstenošanu un visu partneru darbību, tādējādi nodrošinot, lai plānotās projekta darbības notiek saskaņā ar grafiku un budžetu.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Darba grupa var pieteikties uz atbalstu tikai savu vietējo darbību izdevumu segšanai. Attiecināmās un neattiecināmās izmaksas starpvalstu sadarbības projektos atbilst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attiecināmajām un neattiecināmajām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piedaloties starpvalstu sadarbības projektos,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citas valsts finansējuma apstiprināšanu,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līgumu starp darba grupām, tajā iekļaujot šādu informāciju par katru darba grupu: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mērķis, uzdevumi un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darba sadale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budžeta sadalījums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izmantošanas, ieviešanas, kā arī publicitātes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ir apņēmusies finansēt cita sadarbības valsts, – attiecīgu apliecinājumu.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24-TA-2356</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24-TA-2356</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noteikumu_konsolidētā_versija_24-TA-2356.docx</dc:title>
</cp:coreProperties>
</file>

<file path=docProps/custom.xml><?xml version="1.0" encoding="utf-8"?>
<Properties xmlns="http://schemas.openxmlformats.org/officeDocument/2006/custom-properties" xmlns:vt="http://schemas.openxmlformats.org/officeDocument/2006/docPropsVTypes"/>
</file>