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jūlijā (prot. Nr. 30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 (Latvijas Vēstnesis, 2023, 179., 242.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"11.2.1. iznākuma rādītājs: atbalstīto kultūras un tūrisma objektu skaits – pieci (tai skaitā divi objekti par valsts budžeta finansējumu, kas pārsniedz pasākumam pieejamo Eiropas Reģionālās attīstības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Pasākuma ietvaros plānotais un pieejamais kopējais attiecināmais finansējums ir 36 684 790 </w:t>
      </w:r>
      <w:r w:rsidR="00000000" w:rsidRPr="00000000" w:rsidDel="00000000">
        <w:rPr>
          <w:i w:val="1"/>
          <w:rtl w:val="0"/>
        </w:rPr>
        <w:t xml:space="preserve">euro</w:t>
      </w:r>
      <w:r w:rsidR="00000000" w:rsidRPr="00000000" w:rsidDel="00000000">
        <w:rPr>
          <w:rtl w:val="0"/>
        </w:rPr>
        <w:t xml:space="preserve">, tai skaitā Eiropas Reģionālās attīstības fonda finansējums – 31 182 071 </w:t>
      </w:r>
      <w:r w:rsidR="00000000" w:rsidRPr="00000000" w:rsidDel="00000000">
        <w:rPr>
          <w:i w:val="1"/>
          <w:rtl w:val="0"/>
        </w:rPr>
        <w:t xml:space="preserve">euro</w:t>
      </w:r>
      <w:r w:rsidR="00000000" w:rsidRPr="00000000" w:rsidDel="00000000">
        <w:rPr>
          <w:rtl w:val="0"/>
        </w:rPr>
        <w:t xml:space="preserve"> (tai skaitā 2 972 290 </w:t>
      </w:r>
      <w:r w:rsidR="00000000" w:rsidRPr="00000000" w:rsidDel="00000000">
        <w:rPr>
          <w:i w:val="1"/>
          <w:rtl w:val="0"/>
        </w:rPr>
        <w:t xml:space="preserve">euro</w:t>
      </w:r>
      <w:r w:rsidR="00000000" w:rsidRPr="00000000" w:rsidDel="00000000">
        <w:rPr>
          <w:rtl w:val="0"/>
        </w:rPr>
        <w:t xml:space="preserve"> valsts budžeta finansējums, kas pārsniedz pasākumam pieejamo Eiropas Reģionālās attīstības fonda finansējumu) un nacionālais finansējums – 5 502 719 </w:t>
      </w:r>
      <w:r w:rsidR="00000000" w:rsidRPr="00000000" w:rsidDel="00000000">
        <w:rPr>
          <w:i w:val="1"/>
          <w:rtl w:val="0"/>
        </w:rPr>
        <w:t xml:space="preserve">euro</w:t>
      </w:r>
      <w:r w:rsidR="00000000" w:rsidRPr="00000000" w:rsidDel="00000000">
        <w:rPr>
          <w:rtl w:val="0"/>
        </w:rPr>
        <w:t xml:space="preserve"> (valsts budžeta līdzfinansējums – 4 620 366 </w:t>
      </w:r>
      <w:r w:rsidR="00000000" w:rsidRPr="00000000" w:rsidDel="00000000">
        <w:rPr>
          <w:i w:val="1"/>
          <w:rtl w:val="0"/>
        </w:rPr>
        <w:t xml:space="preserve">euro </w:t>
      </w:r>
      <w:r w:rsidR="00000000" w:rsidRPr="00000000" w:rsidDel="00000000">
        <w:rPr>
          <w:rtl w:val="0"/>
        </w:rPr>
        <w:t xml:space="preserve">un pašvaldības līdzfinansējums – 882 353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Daugavas gātes labiekārtošana;".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"19.5. Rīgas pils ekspozīcijas izveide."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Pasākuma ietvaros šo noteikumu 19.1., 19.2. un 19.4. apakšpunktā minēto objektu atjaunošanai projekta finansējuma saņēmējam – valsts akciju sabiedrībai "Valsts nekustamie īpašumi" – pieejamais Eiropas Reģionālās attīstības fonda finansējums ir ne vairāk kā 25 351 243 </w:t>
      </w:r>
      <w:r w:rsidR="00000000" w:rsidRPr="00000000" w:rsidDel="00000000">
        <w:rPr>
          <w:i w:val="1"/>
          <w:rtl w:val="0"/>
        </w:rPr>
        <w:t xml:space="preserve">euro</w:t>
      </w:r>
      <w:r w:rsidR="00000000" w:rsidRPr="00000000" w:rsidDel="00000000">
        <w:rPr>
          <w:rtl w:val="0"/>
        </w:rPr>
        <w:t xml:space="preserve"> (tai skaitā 1 695 618 </w:t>
      </w:r>
      <w:r w:rsidR="00000000" w:rsidRPr="00000000" w:rsidDel="00000000">
        <w:rPr>
          <w:i w:val="1"/>
          <w:rtl w:val="0"/>
        </w:rPr>
        <w:t xml:space="preserve">euro </w:t>
      </w:r>
      <w:r w:rsidR="00000000" w:rsidRPr="00000000" w:rsidDel="00000000">
        <w:rPr>
          <w:rtl w:val="0"/>
        </w:rPr>
        <w:t xml:space="preserve">valsts budžeta finansējums, kas pārsniedz pasākumam pieejamo Eiropas Reģionālās attīstības fonda finansējumu), šo noteikumu 19.3. apakšpunktā minētās Vecrīgas publiskās ārtelpas attīstībai projekta finansējuma saņēmējam – Rīgas valstspilsētas pašvaldībai – pieejamais Eiropas Reģionālās attīstības fonda finansējums ir ne vairāk kā 5 000 000 </w:t>
      </w:r>
      <w:r w:rsidR="00000000" w:rsidRPr="00000000" w:rsidDel="00000000">
        <w:rPr>
          <w:i w:val="1"/>
          <w:rtl w:val="0"/>
        </w:rPr>
        <w:t xml:space="preserve">euro </w:t>
      </w:r>
      <w:r w:rsidR="00000000" w:rsidRPr="00000000" w:rsidDel="00000000">
        <w:rPr>
          <w:rtl w:val="0"/>
        </w:rPr>
        <w:t xml:space="preserve">un šo noteikumu 19.5. apakšpunktā minētās Rīgas pils ekspozīcijas izveidei projekta finansējuma saņēmējam – Latvijas Nacionālajam vēstures muzejam – pieejamais valsts budžeta finansējums, kas pārsniedz pasākumam pieejamo Eiropas Reģionālās attīstības fonda finansējumu, ir ne vairāk kā 1 276 672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Projekta iesniedzējs, kurš pēc projekta iesnieguma apstiprināšanas kļūst par finansējuma saņēmēju, pasākuma ietvaros ir valsts akciju sabiedrība "Valsts nekustamie īpašumi", Latvijas Nacionālais vēstures muzejs un Rīgas valstspilsētas pašvaldība, kuras īpašumā, turējumā, lietošanā, nomā vai valdījumā atrodas kultūras mantojuma objekts vai publiskā ārtelpa, kurā plānotas investīcijas."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Projekta netiešās attiecināmās izmaksas plāno kā vienu izmaksu pozīciju, piemērojot netiešo izmaksu vienoto likmi septiņu procentu apmērā no šo noteikumu 36. punktā minētajām tiešajām attiecināmajām izmaksām saskaņā ar regulas 2021/1060 54. panta "a"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 projekta vadības personāla atlīdzības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36.1.1. projektiem ar tiešajām attiecināmajām izmaksām virs 5 000 000 </w:t>
      </w:r>
      <w:r w:rsidR="00000000" w:rsidRPr="00000000" w:rsidDel="00000000">
        <w:rPr>
          <w:i w:val="1"/>
          <w:rtl w:val="0"/>
        </w:rPr>
        <w:t xml:space="preserve">euro </w:t>
      </w:r>
      <w:r w:rsidR="00000000" w:rsidRPr="00000000" w:rsidDel="00000000">
        <w:rPr>
          <w:rtl w:val="0"/>
        </w:rPr>
        <w:t xml:space="preserve">tiešo</w:t>
      </w:r>
      <w:r w:rsidR="00000000" w:rsidRPr="00000000" w:rsidDel="00000000">
        <w:rPr>
          <w:i w:val="1"/>
          <w:rtl w:val="0"/>
        </w:rPr>
        <w:t xml:space="preserve"> </w:t>
      </w:r>
      <w:r w:rsidR="00000000" w:rsidRPr="00000000" w:rsidDel="00000000">
        <w:rPr>
          <w:rtl w:val="0"/>
        </w:rPr>
        <w:t xml:space="preserve">projekta vadības personāla izmaksu maksimālais ierobežojums Eiropas Reģionālās attīstības fonda finansējuma daļai nepārsniedz 84 787 </w:t>
      </w:r>
      <w:r w:rsidR="00000000" w:rsidRPr="00000000" w:rsidDel="00000000">
        <w:rPr>
          <w:i w:val="1"/>
          <w:rtl w:val="0"/>
        </w:rPr>
        <w:t xml:space="preserve">euro</w:t>
      </w:r>
      <w:r w:rsidR="00000000" w:rsidRPr="00000000" w:rsidDel="00000000">
        <w:rPr>
          <w:rtl w:val="0"/>
        </w:rPr>
        <w:t xml:space="preserve"> kalendāra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36.1.2. projektiem ar tiešajām attiecināmajām izmaksām līdz 5 000 000 </w:t>
      </w:r>
      <w:r w:rsidR="00000000" w:rsidRPr="00000000" w:rsidDel="00000000">
        <w:rPr>
          <w:i w:val="1"/>
          <w:rtl w:val="0"/>
        </w:rPr>
        <w:t xml:space="preserve">euro</w:t>
      </w:r>
      <w:r w:rsidR="00000000" w:rsidRPr="00000000" w:rsidDel="00000000">
        <w:rPr>
          <w:rtl w:val="0"/>
        </w:rPr>
        <w:t xml:space="preserve"> (ieskaitot) projekta vadības personāla izmaksu ierobežojums tiek aprēķināts, pie minimālo izmaksu bāzes 34 422 </w:t>
      </w:r>
      <w:r w:rsidR="00000000" w:rsidRPr="00000000" w:rsidDel="00000000">
        <w:rPr>
          <w:i w:val="1"/>
          <w:rtl w:val="0"/>
        </w:rPr>
        <w:t xml:space="preserve">euro</w:t>
      </w:r>
      <w:r w:rsidR="00000000" w:rsidRPr="00000000" w:rsidDel="00000000">
        <w:rPr>
          <w:rtl w:val="0"/>
        </w:rPr>
        <w:t xml:space="preserve"> kalendāra gadā pieskaitot 0,64 procentus no projekta tiešajām attiecināmajām izmaksām, neieskaitot tiešās projekta vadības personāla izmaksas, un summu reizinot ar projekta ilgumu gados. Ja projekts ilgst mazāk par gadu vai nepilnos kalendāra gados, ierobežojums tiek aprēķināts proporcionāli projekta mēnešu skaitam."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Projekta pārskata periodā Kultūras ministrija atbilstoši Kultūras ministrijas izstrādātajai komercdarbības atbalsta piemērošanas metodikai specifiskā atbalsta ietvaros reizi gadā līdz kārtējā gada 1. jūnijam izvērtē, vai kultūras nozares projekts atbilst šo noteikumu 43. punktā minētajiem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24-TA-921</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24-TA-921</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noteikumu_(grozījumu)_projekts_24-TA-921.docx</dc:title>
</cp:coreProperties>
</file>

<file path=docProps/custom.xml><?xml version="1.0" encoding="utf-8"?>
<Properties xmlns="http://schemas.openxmlformats.org/officeDocument/2006/custom-properties" xmlns:vt="http://schemas.openxmlformats.org/officeDocument/2006/docPropsVTypes"/>
</file>