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Eiropas Savienības Atveseļošanas un noturības mehānisma plāna investīciju 4.1.1.2.i. "Atbalsts slimnīcu infrastruktūrai vai aprīkojumam"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09.12.2025. noteikumu Nr. 745 redakcijā; sk. 55. punktu)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investīcijas 4.1.1.2.i. "Atbalsts slimnīcu infrastruktūrai vai aprīkojumam" (turpmāk – investīcija) īstenošanas un uzraudzības kārtību, tostarp: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sasaisti ar ietekmi uz īstenojamo reformu;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finansējuma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 sk. 55.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ietvaros līgumus par projekta īstenošanu slēdz un investīcijas atbalstu piešķir Centrālā finanšu un līgumu aģentūra (turpmāk – līgumslēdzējs).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komercdarbības atbalstu piešķir un atbildīgās nozares ministrijas funkcijas pilda Veselības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finansējuma saņēmējs ir ārstniecības iestādes, kas noteiktas šo noteikumu </w:t>
      </w:r>
      <w:r w:rsidR="00000000" w:rsidRPr="00000000" w:rsidDel="00000000">
        <w:rPr>
          <w:rtl w:val="0"/>
        </w:rPr>
        <w:t xml:space="preserve">pielikumā</w:t>
      </w:r>
      <w:r w:rsidR="00000000" w:rsidRPr="00000000" w:rsidDel="00000000">
        <w:rPr>
          <w:rtl w:val="0"/>
        </w:rPr>
        <w:t xml:space="preserve"> (turpmāk – finansējuma saņēmējs).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Investīcijas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mērķis ir palielināt veselības nozares noturību un pakalpojumu pieejamību, veicot ieguldījumus universitātes, reģionālo un specializēto slimnīcu veselības aprūpes pakalpojumu sniegšanas infrastruktūrā vai aprīkojumā.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 sk. 55.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mērķa grupa ir valsts apmaksāto veselības aprūpes pakalpojumu sniedzēji –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veiktās projekta darbības tieši vērstas uz Atveseļošanas fonda plāna reformas 4.1.1.r. "Uz cilvēku centrētas, visaptverošas, integrētas veselības aprūpes sistēmas ilgtspēja un noturība" (turpmāk – reforma) ieviešanu. Investīcija īstenojama sasaistē ar reformas atskaites punktu "Uz cilvēku centrētas, visaptverošas, integrētas veselības aprūpes sniegšanas modeļa attīstība, veicot investīciju stratēģijas izstrādi un izstrādājot rekomendācijas integrētas un epidemioloģiski drošas veselības aprūpes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ir sasniedzami šādi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decembrim – projektu skaits, kuriem saņemts Veselības ministrijas izveidotas ārstniecības procesam tieši nepieciešamās medicīniskās tehnoloģijas iegādes vērtēšanas komisijas (turpmāk – tehnoloģijas komisija) pozitīvs atzinums par iekārtu atbilstību attiecīgo valsts apmaksāto pakalpojumu sniegšanai, – 10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09.12.2025. noteikumiem Nr. 745)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uzlabota slimnīcu infrastruktūra vai aprīkojums – 15 slimnīcas.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09.12.2025. noteikumiem Nr. 745; sk. 55.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09.12.2025. noteikumiem Nr. 745)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Projektu atlase tiek īstenota trīs kārtās. Pirmās projektu atlases kārtas ietvaros divu mēnešu laikā pēc šo noteikumu spēkā stāšanās finansējuma saņēmējs sagatavo projektu un iesniedz to Kohēzijas politikas fondu vadības informācijas sistēmā (turpmāk – vadības informācijas sistēma), aizpildot definētās projekta sadaļas. Ja uz projekta iesniegšanas brīdi vēl nav nodrošināta vadības informācijas sistēmas funkcionalitāte, finansējuma saņēmējs iesniedz projektu nozares ministrijai elektroniska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projektu atlases kārtas ietvaros finansējuma saņēmējs līdz 2025. gada 28. februārim sagatavo projektu un iesniedz to vadības informācijas sistēmā, aizpildot definētās projekta sadaļas.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Trešās projektu atlases kārtas ietvaros finansējuma saņēmējs līdz 2026. gada 1. martam sagatavo projektu un iesniedz to vadības informācijas sistēmā, aizpildot definētās projekta sadaļas.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Atbilstoši normatīvajam aktam par Atveseļošanas fonda plāna īstenošanas un uzraudzības kārtību projektu vadības informācijas sistēmā vērtē nozares ministrija. Projektu vērtē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atbalsts paredzēts kā atbalsts universitātes, reģionālo vai specializēto slimnīcu veselības aprūpes infrastruktūras stiprināšanai, lai nodrošinātu visaptverošu, ilgtspējīgu un integrētu veselības pakalpojumu, mazinātu infekciju slimību izplatību un veicinātu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atbilst ārstniecības iestāžu infrastruktūras uzlabošanas investīciju pasākumiem, kas stiprinās veselības nozares noturību un pakalpojumu pieejamību, paredzot attīstīt integrētiem veselības aprūpes pakalpojumiem nepieciešamo infrastruktūru un ārstniecības iestāžu spēju pielāgoties krīžu situācijām, un nodrošinās nepārtrauktu, ilgtspējīgu un kvalitatīvu valsts apmaksātu veselības aprūpes pakalpojumu sniegšanu valstī noteiktajās pakalpojumu sniegšanas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infrastruktūras uzlabošanas darbības tiek plānotas, balstoties uz integrētās aprūpes rekomendāciju kopumu un rekomendāciju kopumu epidemioloģisko prasību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infrastruktūras uzlabošanas darbības paredz ārstniecības iestāžu infrastruktūras struktūrvienību attīstību atbilstoši ārstniecības iestādes sniegtajiem primārajiem, sekundārajiem, ambulatorajiem un stacionārajiem valsts apmaksātajiem veselības aprūpes pakalpojumiem un programmām saskaņā ar normatīvo regulējumu veselības aprūpes pakalpojumu organizēšanas un samaksas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tiek sniegts komercdarbības atbalsts  saskaņā ar </w:t>
      </w:r>
      <w:r w:rsidR="00000000" w:rsidRPr="00000000" w:rsidDel="00000000">
        <w:rPr>
          <w:rtl w:val="0"/>
        </w:rPr>
        <w:t xml:space="preserve">Komisijas lēmumu (2012/21/ES) par Līguma par ES darbību 106. panta 2. punkta piemērošanu valsts atbalstam attiecībā uz kompensāciju par sabiedriskajiem pakalpojumiem dažiem uzņēmumiem, kuriem uzticēts sniegt pakalpojumus ar vispārēju tautsaimniecisku nozīmi</w:t>
      </w:r>
      <w:r w:rsidR="00000000" w:rsidRPr="00000000" w:rsidDel="00000000">
        <w:rPr>
          <w:rtl w:val="0"/>
        </w:rPr>
        <w:t xml:space="preserve"> (turpmāk – Eiropas Komisijas lēmums Nr. 2012/21/ES);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darbības ir vērstas uz </w:t>
      </w:r>
      <w:r w:rsidR="00000000" w:rsidRPr="00000000" w:rsidDel="00000000">
        <w:rPr>
          <w:rtl w:val="0"/>
        </w:rPr>
        <w:t xml:space="preserve">Eiropas Parlamenta un Padomes 2021. gada 12. februāra Regulas (ES) 2021/241, ar ko izveido Atveseļošanas un noturības mehānismu</w:t>
      </w:r>
      <w:r w:rsidR="00000000" w:rsidRPr="00000000" w:rsidDel="00000000">
        <w:rPr>
          <w:rtl w:val="0"/>
        </w:rPr>
        <w:t xml:space="preserve"> </w:t>
      </w:r>
      <w:r w:rsidR="00000000" w:rsidRPr="00000000" w:rsidDel="00000000">
        <w:rPr>
          <w:rtl w:val="0"/>
        </w:rPr>
        <w:t xml:space="preserve"> (turpmāk – regula Nr. 2021/241),</w:t>
      </w:r>
      <w:r w:rsidR="00000000" w:rsidRPr="00000000" w:rsidDel="00000000">
        <w:rPr>
          <w:rtl w:val="0"/>
        </w:rPr>
        <w:t xml:space="preserve"> 5. panta 2. punkta </w:t>
      </w:r>
      <w:r w:rsidR="00000000" w:rsidRPr="00000000" w:rsidDel="00000000">
        <w:rPr>
          <w:rtl w:val="0"/>
        </w:rPr>
        <w:t xml:space="preserve">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 principa "Nenodarīt būtisku kaitējumu" vides mērķu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09.12.2025. noteikumiem Nr. 745)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vērtējumu par projektu nosūta finansējuma saņēmējam un līgumslēdzējam divu mēnešu laikā pēc tam, kad finansējuma saņēmējs ir ievadījis projekta datus vadības informācijas sistēmā. Projekta vērtējums var būt "atbilst", "neatbilst" vai "novēršami trūkumi".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vērtējums ir "novēršami trūkumi", finansējuma saņēmējs mēneša laikā no vērtējuma saņemšanas brīža veic precizējumus projektā vadības informācijas sistēmā un nozares ministrija mēneša laikā atkārtoti sniedz vērtējumu.  Vērtējumu atkārtoti sniedz ne vairāk kā divas reizes.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finansējuma saņēmējs neveic projekta precizējumus atbilstoši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minētajai kārtībai vai projekta vērtējums ir "neatbilst", projekts netiek saskaņots un līgums par projekta īstenošanu netiek slēgts. Nozares ministrija var uzaicināt finansējuma saņēmēju iesniegt projektu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Jebkuras izmaiņas līgumā par projekta īstenošanu, kas skar finansējumu, šo noteikumu 8.1. un </w:t>
      </w:r>
      <w:r w:rsidR="00000000" w:rsidRPr="00000000" w:rsidDel="00000000">
        <w:rPr>
          <w:rtl w:val="0"/>
        </w:rPr>
        <w:t xml:space="preserve">8.3.</w:t>
      </w:r>
      <w:r w:rsidR="00000000" w:rsidRPr="00000000" w:rsidDel="00000000">
        <w:rPr>
          <w:rtl w:val="0"/>
        </w:rPr>
        <w:t xml:space="preserve"> apakšpunktā noteikto rādītāju  sasniegšanu un termiņus,  finansējuma saņēmējs vadības informācijas sistēmā saskaņo ar nozares ministriju. Nozares ministrija atzinumu sniedz mēneša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 sk. 55.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Investīcijas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kopējais attiecināmais finansējums ir 182 319 152 </w:t>
      </w:r>
      <w:r w:rsidR="00000000" w:rsidRPr="00000000" w:rsidDel="00000000">
        <w:rPr>
          <w:i w:val="1"/>
          <w:rtl w:val="0"/>
        </w:rPr>
        <w:t xml:space="preserve">euro</w:t>
      </w:r>
      <w:r w:rsidR="00000000" w:rsidRPr="00000000" w:rsidDel="00000000">
        <w:rPr>
          <w:rtl w:val="0"/>
        </w:rPr>
        <w:t xml:space="preserve"> (finansējums no ietaupījuma – 1 272 113 </w:t>
      </w:r>
      <w:r w:rsidR="00000000" w:rsidRPr="00000000" w:rsidDel="00000000">
        <w:rPr>
          <w:i w:val="1"/>
          <w:rtl w:val="0"/>
        </w:rPr>
        <w:t xml:space="preserve">euro</w:t>
      </w:r>
      <w:r w:rsidR="00000000" w:rsidRPr="00000000" w:rsidDel="00000000">
        <w:rPr>
          <w:rtl w:val="0"/>
        </w:rPr>
        <w:t xml:space="preserve">), tai skaitā Atveseļošanas fonda finansējums – 150 676 985 </w:t>
      </w:r>
      <w:r w:rsidR="00000000" w:rsidRPr="00000000" w:rsidDel="00000000">
        <w:rPr>
          <w:i w:val="1"/>
          <w:rtl w:val="0"/>
        </w:rPr>
        <w:t xml:space="preserve">euro</w:t>
      </w:r>
      <w:r w:rsidR="00000000" w:rsidRPr="00000000" w:rsidDel="00000000">
        <w:rPr>
          <w:rtl w:val="0"/>
        </w:rPr>
        <w:t xml:space="preserve"> (finansējums no Atveseļošanas fonda finansējuma ietaupījuma – 1 054 980 </w:t>
      </w:r>
      <w:r w:rsidR="00000000" w:rsidRPr="00000000" w:rsidDel="00000000">
        <w:rPr>
          <w:i w:val="1"/>
          <w:rtl w:val="0"/>
        </w:rPr>
        <w:t xml:space="preserve">euro</w:t>
      </w:r>
      <w:r w:rsidR="00000000" w:rsidRPr="00000000" w:rsidDel="00000000">
        <w:rPr>
          <w:rtl w:val="0"/>
        </w:rPr>
        <w:t xml:space="preserve">) un valsts budžeta finansējums PVN segšanai – ne vairāk kā 31 642 167 </w:t>
      </w:r>
      <w:r w:rsidR="00000000" w:rsidRPr="00000000" w:rsidDel="00000000">
        <w:rPr>
          <w:i w:val="1"/>
          <w:rtl w:val="0"/>
        </w:rPr>
        <w:t xml:space="preserve">euro</w:t>
      </w:r>
      <w:r w:rsidR="00000000" w:rsidRPr="00000000" w:rsidDel="00000000">
        <w:rPr>
          <w:rtl w:val="0"/>
        </w:rPr>
        <w:t xml:space="preserve"> (finansējums no ietaupījuma – 217 133 </w:t>
      </w:r>
      <w:r w:rsidR="00000000" w:rsidRPr="00000000" w:rsidDel="00000000">
        <w:rPr>
          <w:i w:val="1"/>
          <w:rtl w:val="0"/>
        </w:rPr>
        <w:t xml:space="preserve">euro</w:t>
      </w:r>
      <w:r w:rsidR="00000000" w:rsidRPr="00000000" w:rsidDel="00000000">
        <w:rPr>
          <w:rtl w:val="0"/>
        </w:rPr>
        <w:t xml:space="preserve">) (tai skaitā saskaņā ar šo noteikumu </w:t>
      </w:r>
      <w:r w:rsidR="00000000" w:rsidRPr="00000000" w:rsidDel="00000000">
        <w:rPr>
          <w:rtl w:val="0"/>
        </w:rPr>
        <w:t xml:space="preserve">37.</w:t>
      </w:r>
      <w:r w:rsidR="00000000" w:rsidRPr="00000000" w:rsidDel="00000000">
        <w:rPr>
          <w:rtl w:val="0"/>
        </w:rPr>
        <w:t xml:space="preserve"> punktu</w:t>
      </w:r>
      <w:r w:rsidR="00000000" w:rsidRPr="00000000" w:rsidDel="00000000">
        <w:rPr>
          <w:rtl w:val="0"/>
        </w:rPr>
        <w:t xml:space="preserve"> noteiktais privātais finansējums, par kuru samazināts valsts budžeta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Atveseļošanas fonda finansējums nesedz investīcijas pievienotās vērtības nodokļa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minētais nacionālais valsts budžeta finansējums katra finansējuma saņēmēja projekta ietvaros nosakāms atbilstoši  infrastruktūras izmantošanas proporcijai valsts apmaksāto veselības aprūpes pakalpojumu sniegšanai un citu darbību veikšanai, ko aprēķina saskaņā ar šo noteikumu </w:t>
      </w:r>
      <w:r w:rsidR="00000000" w:rsidRPr="00000000" w:rsidDel="00000000">
        <w:rPr>
          <w:rtl w:val="0"/>
        </w:rPr>
        <w:t xml:space="preserve">37.</w:t>
      </w:r>
      <w:r w:rsidR="00000000" w:rsidRPr="00000000" w:rsidDel="00000000">
        <w:rPr>
          <w:rtl w:val="0"/>
        </w:rPr>
        <w:t xml:space="preserve"> punktu (turpmāk – infrastruktūras izmantošanas proporcija).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Individuāli katram finansējuma saņēmēja projektam pieejamais publiskais finansējums, tai skaitā  Atveseļošanas fonda un valsts budžeta finansējums, nav lielāks, kā noteikts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projekta īstenošanas laikā finansējuma saņēmējs saskaņā ar līgumu par projekta īstenošanu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saskaņā ar projektā noslēgto pakalpojumu, preču piegādes vai būvdarbu līgumiem. Līgumslēdzējs, pamatojoties uz finansējuma saņēmēja pieprasījumu un atbilstoši projekta finansēšanas plānam, avansa maksājumu var piešķirt vairākos maksājumos, ievērojot, ka nākamo avansu var saņemt pēc tam, kad iepriekšējais ir apgūts pilnā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minēto investīcijas rādītāju.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09.12.2025. noteikumiem Nr. 745; sk. 55.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09.12.2025. noteikumiem Nr. 745; sk. 55.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09.12.2025. noteikumiem Nr. 745; sk. 55.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avansa un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minētā starpposma maksājumu kopsumma nepārsniedz 90 % no kopējā projekta investīcijas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Komercdarbības atbalstu piešķir saskaņā ar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komercdarbības atbalsta piešķiršanas dienu ir uzskatāma diena, kad sniegts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minētais nozares ministrijas atzinums par projekta vērtējuma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pirms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pienākuma izpildes atbilstoši normatīvajiem aktiem veselības aprūpes organizēšanas un samaksas jomā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piešķirto ekskluzīvo vai īpašo tiesību būtību;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w:t>
      </w:r>
      <w:r w:rsidR="00000000" w:rsidRPr="00000000" w:rsidDel="00000000">
        <w:rPr>
          <w:rtl w:val="0"/>
        </w:rPr>
        <w:t xml:space="preserve">Eiropas Komisijas lēmumu Nr. 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aizpildot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minētās definētās projekta sadaļas, projektam pievieno vispārējas tautsaimnieciskas nozīmes pakalpojuma sniegšanas pilnvarojuma uzlicēja apliecinājumu, ka tas kontrolēs un pārskatīs šo noteikumu </w:t>
      </w:r>
      <w:r w:rsidR="00000000" w:rsidRPr="00000000" w:rsidDel="00000000">
        <w:rPr>
          <w:rtl w:val="0"/>
        </w:rPr>
        <w:t xml:space="preserve">25.6.</w:t>
      </w:r>
      <w:r w:rsidR="00000000" w:rsidRPr="00000000" w:rsidDel="00000000">
        <w:rPr>
          <w:rtl w:val="0"/>
        </w:rPr>
        <w:t xml:space="preserve"> apakšpunktā</w:t>
      </w:r>
      <w:r w:rsidR="00000000" w:rsidRPr="00000000" w:rsidDel="00000000">
        <w:rPr>
          <w:rtl w:val="0"/>
        </w:rPr>
        <w:t xml:space="preserve"> minētos deleģēšanas līgumā paredzētos atlīdzības (kompensācijas) maksājumus, kā arī novērsīs un atgūs deleģēšanas līgumā paredzēto atlīdzības (kompensācijas) maksājumu pārmaksu, ievērojot </w:t>
      </w:r>
      <w:r w:rsidR="00000000" w:rsidRPr="00000000" w:rsidDel="00000000">
        <w:rPr>
          <w:rtl w:val="0"/>
        </w:rPr>
        <w:t xml:space="preserve">Eiropas Komisijas lēmumā Nr. 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valsts atbalsta sniedzējam visu projekta ietvaros saņemto nelikumīgo komercdarbības atbalstu kopā ar procentiem no līdzekļiem, kas ir brīvi no komercdarbības atbalsta, saskaņā ar Komercdarbības atbalsta kontroles likuma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nozares ministrijai, kas nav pilnvarojuma uzlicējs, bet piešķir komercdarbības atbalstu saskaņā ar šīs nodaļas prasībām, ir pienākums dokumentāciju, kas saistīta ar komercdarbības atbalsta piešķiršanu, glabāt 10 gadus no atbalsta piešķiršanas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komercdarbības atbalstu drīkst kumulēt ar citu komercdarbības atbalstu, kas sniegts saskaņā ar </w:t>
      </w:r>
      <w:r w:rsidR="00000000" w:rsidRPr="00000000" w:rsidDel="00000000">
        <w:rPr>
          <w:rtl w:val="0"/>
        </w:rPr>
        <w:t xml:space="preserve">Eiropas Komisijas lēmumu Nr. 2012/21/ES</w:t>
      </w:r>
      <w:r w:rsidR="00000000" w:rsidRPr="00000000" w:rsidDel="00000000">
        <w:rPr>
          <w:rtl w:val="0"/>
        </w:rPr>
        <w:t xml:space="preserve">,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Investīcijas 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investīciju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audits.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minētās atbalstāmās darbības ietvaros ir attiecināmas finansējuma saņēmēja projekta vadības personāla atlīdzības izmaksas, kas radušās uz darba līguma vai pakalpojuma līguma pamata, tai skaitā normatīvajos aktos atlīdzības politikas un nodokļu jomā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attiecināmās izmaksas ir 5 000 000 </w:t>
      </w:r>
      <w:r w:rsidR="00000000" w:rsidRPr="00000000" w:rsidDel="00000000">
        <w:rPr>
          <w:i w:val="1"/>
          <w:rtl w:val="0"/>
        </w:rPr>
        <w:t xml:space="preserve">euro </w:t>
      </w:r>
      <w:r w:rsidR="00000000" w:rsidRPr="00000000" w:rsidDel="00000000">
        <w:rPr>
          <w:rtl w:val="0"/>
        </w:rPr>
        <w:t xml:space="preserve">vai lielākas, – nepārsniedzot 56 580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attiecināmās izmaksas ir 4 999 999 </w:t>
      </w:r>
      <w:r w:rsidR="00000000" w:rsidRPr="00000000" w:rsidDel="00000000">
        <w:rPr>
          <w:i w:val="1"/>
          <w:rtl w:val="0"/>
        </w:rPr>
        <w:t xml:space="preserve">euro</w:t>
      </w:r>
      <w:r w:rsidR="00000000" w:rsidRPr="00000000" w:rsidDel="00000000">
        <w:rPr>
          <w:rtl w:val="0"/>
        </w:rPr>
        <w:t xml:space="preserve"> vai mazākas, aprēķina ar minimālo izmaksu bāzi 24 426 </w:t>
      </w:r>
      <w:r w:rsidR="00000000" w:rsidRPr="00000000" w:rsidDel="00000000">
        <w:rPr>
          <w:i w:val="1"/>
          <w:rtl w:val="0"/>
        </w:rPr>
        <w:t xml:space="preserve">euro </w:t>
      </w:r>
      <w:r w:rsidR="00000000" w:rsidRPr="00000000" w:rsidDel="00000000">
        <w:rPr>
          <w:rtl w:val="0"/>
        </w:rPr>
        <w:t xml:space="preserve">gadā, pieskaitot 0,64 procentus no projekta attiecināmajām izmaksām, bet neieskaitot projekta vadības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30.2.</w:t>
      </w:r>
      <w:r w:rsidR="00000000" w:rsidRPr="00000000" w:rsidDel="00000000">
        <w:rPr>
          <w:rtl w:val="0"/>
        </w:rPr>
        <w:t xml:space="preserve"> apakšpunktā</w:t>
      </w:r>
      <w:r w:rsidR="00000000" w:rsidRPr="00000000" w:rsidDel="00000000">
        <w:rPr>
          <w:rtl w:val="0"/>
        </w:rPr>
        <w:t xml:space="preserve">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regulējošajos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tai skaitā izmaksas, kas saistītas ar objektu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funkcionalitātes nodrošināšanai nepieciešamās ūdenssaimniecības, siltumapgādes un elektroenerģijas pieslēguma būvniecības, pārbūves vai atjaunošanas izmaksas, tostarp pieslēguma izveidošanas izmaksas efektīvai centralizētas siltumapgādes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09.12.2025. noteikumiem Nr. 745)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30.3.</w:t>
      </w:r>
      <w:r w:rsidR="00000000" w:rsidRPr="00000000" w:rsidDel="00000000">
        <w:rPr>
          <w:rtl w:val="0"/>
        </w:rPr>
        <w:t xml:space="preserve"> apakšpunktā</w:t>
      </w:r>
      <w:r w:rsidR="00000000" w:rsidRPr="00000000" w:rsidDel="00000000">
        <w:rPr>
          <w:rtl w:val="0"/>
        </w:rPr>
        <w:t xml:space="preserve"> minētās atbalstāmās darbības ietvaros ir attiecināmas šādas ārstniecības procesam tieši nepieciešamo tehnoloģiju piegādes (tai skaitā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Investīciju projektā attiecinot medicīnisko tehnoloģiju,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minētā atbalstāmā darbība iekļauj neatkarīga revidenta ziņojumu par saskaņoto procedūru veikšanu saistībā ar projekta darbību un šo noteikumu </w:t>
      </w:r>
      <w:r w:rsidR="00000000" w:rsidRPr="00000000" w:rsidDel="00000000">
        <w:rPr>
          <w:rtl w:val="0"/>
        </w:rPr>
        <w:t xml:space="preserve">8.3.</w:t>
      </w:r>
      <w:r w:rsidR="00000000" w:rsidRPr="00000000" w:rsidDel="00000000">
        <w:rPr>
          <w:rtl w:val="0"/>
        </w:rPr>
        <w:t xml:space="preserve"> apakšpunktā</w:t>
      </w:r>
      <w:r w:rsidR="00000000" w:rsidRPr="00000000" w:rsidDel="00000000">
        <w:rPr>
          <w:rtl w:val="0"/>
        </w:rPr>
        <w:t xml:space="preserve"> minētā rādītāja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Nr. 2021/241 17. panta 2. punktu projekta izmaksas ir attiecināmas, ja tās atbilst šajos noteikumos minētajām izmaksu pozīcijām un ir radušās ar 2020. gada 1. februāri. Projektā nedrīkst būt iekļautas darbības, kas ir pabeigtas uz Atveseļošanas fonda plāna apstiprināšanas brīdi Eiropas Komisijā un Eiropas Padomē 2021. gada 13. 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76450" cy="781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76450" cy="781050"/>
                    </a:xfrm>
                    <a:prstGeom prst="rect"/>
                    <a:ln/>
                  </pic:spPr>
                </pic:pic>
              </a:graphicData>
            </a:graphic>
          </wp:inline>
        </w:drawing>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7"/>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81199" cy="7143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981199" cy="714375"/>
                    </a:xfrm>
                    <a:prstGeom prst="rect"/>
                    <a:ln/>
                  </pic:spPr>
                </pic:pic>
              </a:graphicData>
            </a:graphic>
          </wp:inline>
        </w:drawing>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infrastruktūras izmantošanas proporciju iesniedz nozares ministrijai: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minētajā kārtībā, iesniedzot projektu vadības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noslēguma maksājuma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56; MK 09.12.2025. noteikumiem Nr. 745)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37.1.</w:t>
      </w:r>
      <w:r w:rsidR="00000000" w:rsidRPr="00000000" w:rsidDel="00000000">
        <w:rPr>
          <w:rtl w:val="0"/>
        </w:rPr>
        <w:t xml:space="preserve"> apakšpunktu</w:t>
      </w:r>
      <w:r w:rsidR="00000000" w:rsidRPr="00000000" w:rsidDel="00000000">
        <w:rPr>
          <w:rtl w:val="0"/>
        </w:rPr>
        <w:t xml:space="preserve">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privāto līdzfinansējumu.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attiecinātu pievienotās vērtības nodokļa izmaksas, finansējuma saņēmējs projekta maksājuma pieprasījumam pievieno apliecinājumu, ka minētās izmaksas nav un netiks atgūtas no valsts budžeta priekšnodokļa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Līgumā par projekta īstenošanu paredz: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plāna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avansa, starpposma un noslēguma maksājuma pieprasījuma iesniegšanas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iesniedz dokumentus, kas apliecina šo noteikumu 8.1. un </w:t>
      </w:r>
      <w:r w:rsidR="00000000" w:rsidRPr="00000000" w:rsidDel="00000000">
        <w:rPr>
          <w:rtl w:val="0"/>
        </w:rPr>
        <w:t xml:space="preserve">8.3.</w:t>
      </w:r>
      <w:r w:rsidR="00000000" w:rsidRPr="00000000" w:rsidDel="00000000">
        <w:rPr>
          <w:rtl w:val="0"/>
        </w:rPr>
        <w:t xml:space="preserve"> apakšpunktā minēto rādītāju sasniegšanu: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tehnoloģijas komisijas atzinums par pozitīvu tehnoloģijas saskaņojumu (kopija);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ministrijas lēmums par pozitīvu tehnoloģijas saskaņojumu projektā (kopija);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apakšpunktā minētajam rādītājam:</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īss rādītāja sasniegšanas apraksts, kas pierāda atbilstību Padomes īstenošanas lēmuma par Latvijas atveseļošanas un noturības plāna novērtējuma apstiprināšanu Nr. 2021/0164 (NLE) pielikumā ietvertā mērķa un ieguldījuma aprakstam – stiprināt veselības aprūpes infrastruktūru slimnīcās;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pierādījumi par būvdarbu pabeigšanu un par to, ka ēka vai aprīkojums darbojas un atbilst normatīvajos aktos būvdarbu jomā noteiktajām kvalitātes prasībām, finansējuma saņēmēja rīcībā esošo dokumentu kopija, kas apliecina projekta pabeigšanu, un nozares ministrijas  apstiprinājums par projekta pabeigšanu.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vadības informācijas sistēmā ievada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projekta datus, tai skaitā nosakot, ka: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kopējo noslēgto iepirkumu līgumu apjomu projektā;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pienākums vadības informācijas sistēmā ievadīt informāciju par noslēgtajiem iepirkumu līgumiem, kas ietver izvilkumu no tehniskās specifikācijas un pamato iepirkuma atbilstību projekta mērķim – nodrošināt visaptverošu, ilgtspējīgu un integrētu veselības aprūpes pakalpojumu attīstību atbalstāmajā infrastruktūrā;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šo noteikumu </w:t>
      </w:r>
      <w:r w:rsidR="00000000" w:rsidRPr="00000000" w:rsidDel="00000000">
        <w:rPr>
          <w:rtl w:val="0"/>
        </w:rPr>
        <w:t xml:space="preserve">43.4.2.</w:t>
      </w:r>
      <w:r w:rsidR="00000000" w:rsidRPr="00000000" w:rsidDel="00000000">
        <w:rPr>
          <w:rtl w:val="0"/>
        </w:rPr>
        <w:t xml:space="preserve">  apakšpunktā</w:t>
      </w:r>
      <w:r w:rsidR="00000000" w:rsidRPr="00000000" w:rsidDel="00000000">
        <w:rPr>
          <w:rtl w:val="0"/>
        </w:rPr>
        <w:t xml:space="preserve"> minēto dokumentāciju iesniedz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neatkarīga revidenta ziņojumu par saskaņoto procedūru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21.01.2025. noteikumiem Nr. 56; MK 09.12.2025. noteikumiem Nr. 745;</w:t>
      </w:r>
      <w:r w:rsidR="00000000" w:rsidRPr="00000000" w:rsidDel="00000000">
        <w:rPr>
          <w:rStyle w:val="paragraph"/>
          <w:i w:val="1"/>
          <w:rtl w:val="0"/>
        </w:rPr>
        <w:t xml:space="preserve"> sk. 55.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saskaņā ar normatīvajiem aktiem par Atveseļošanas fonda plāna īstenošanas un uzraudzības kārtību maksājumu pieprasījumu datus uzkrāj un vadības informācijas sistēmā ievada līdz kārtējā gada 10. janvārim  un 10. jūlijam.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w:t>
      </w:r>
      <w:r w:rsidR="00000000" w:rsidRPr="00000000" w:rsidDel="00000000">
        <w:rPr>
          <w:rtl w:val="0"/>
        </w:rPr>
        <w:t xml:space="preserve">regulas Nr. 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22. pantam finansējuma saņēmējs nodrošina, ka visā projekta īstenošanas laikā tiks ievēroti normatīvajos aktos noteiktie interešu konflikta, korupcijas un krāpšanas novēršanas un dubultā finansējuma novēršanas nosacījumi, kuriem iestājoties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pienākums nodrošināt, ka normatīvajos aktos par Atveseļošanas fonda plāna īstenošanas un uzraudzības kārtību minētajām institūcijām ir pieejama ar investīcijas projekta īstenošanu saistītā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5. panta 2. punktam un </w:t>
      </w:r>
      <w:r w:rsidR="00000000" w:rsidRPr="00000000" w:rsidDel="00000000">
        <w:rPr>
          <w:rtl w:val="0"/>
        </w:rPr>
        <w:t xml:space="preserve">Eiropas Parlamenta un Padomes 2020. gada 18. jūnija Regulas (ES) 2020/852 par regulējuma izveidi ilgtspējīgu ieguldījumu veicināšanai un ar kuru groza Regulu (ES) 2019/2088</w:t>
      </w:r>
      <w:r w:rsidR="00000000" w:rsidRPr="00000000" w:rsidDel="00000000">
        <w:rPr>
          <w:rtl w:val="0"/>
        </w:rPr>
        <w:t xml:space="preserve">,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projektā plānoto darbu sasaisti, sinerģiju un demarkāciju ar citu atbalsta instrumentu investīcijām dubultfinansējuma riska mazināšanai;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sedz projekta sadārdzinājumu no saviem līdzekļiem, ja projekta izmaksas pieaug;</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 ievērojot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noteiktos dokumentu uzglabāšanas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patapinājumā, valdījumā vai ilgtermiņa nomā vismaz 10 gadus, un tiesībām uz konkrēto objektu vai īpašumu, izņemot patapinājumu, jābūt nostiprinātām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iepirkumu, kas nepieciešams atbalstāmo darbību īstenošanai, var veikt kā sociāli atbildīgu iepirkumu. Pakalpojuma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Nr. 2021/241</w:t>
      </w:r>
      <w:r w:rsidR="00000000" w:rsidRPr="00000000" w:rsidDel="00000000">
        <w:rPr>
          <w:rtl w:val="0"/>
        </w:rPr>
        <w:t xml:space="preserve"> 27. pantam uzkrāj datus par kopīgo rādītāju "Jaunu vai modernizētu veselības aprūpes iestāžu jauda";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 Ja sākotnēji plānotais pievienotās vērtības nodokļa apmērs būs lielāks nekā faktiski nepieciešamais, nodrošina pārmaksātā pievienotās vērtības nodokļa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09.12.2025. noteikumiem Nr. 745)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Investīcijas ietvaros pirmās un otrās kārtas projektu īsteno saskaņā ar līgumu par projekta īstenošanu, bet ne ilgāk kā līdz 2026. gada 31. augustam, trešās kārtas projektu īsteno līdz 2026. gada 31. decembrim, ievērojot,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un otrās kārtas finansējuma saņēmējs izdevumus var veikt līdz 2026. gada 30. jūnijam, trešās kārtas finansējuma saņēmējs – līdz 2026. gada 11. decembrim. Izņēmuma gadījumos pirmās un otrās kārtas finansējuma saņēmējs, saskaņojot ar nozares ministriju un līgumslēdzēju, izdevumu veikšanas termiņu var pagarināt līdz 2026. gada 15. augustam. Par izņēmuma gadījumiem šo noteikumu izpratnē uzskatāmi šādi apstākļi, ja tie apdraud projekta mērķu sasniegšanu: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vai iepirkuma procedūru kavēšanās, kas radusies nepārvaramas varas vai trešo personu rīcības dēļ, tostarp piegādes ķēžu traucējumu, būvdarbu līgumu izpildes aizkavēšanās vai projektu saskaņošanas kavējumu dēļ;</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objektīvi un dokumentēti apstākļi, kas nav atkarīgi no finansējuma saņēmēja;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kārtas finansējuma saņēmējs noslēguma maksājumu pieprasījumu iesniedz līdz 2026. gada 15. jūlijam, trešās kārtas finansējuma saņēmējs – līdz 2026. gada 30. novembrim. Izņēmuma gadījumos pirmās un otrās kārtas finansējuma saņēmējs, saskaņojot ar nozares ministriju un līgumslēdzēju, maksājumu pieprasījumu iesniegšanas termiņu var pagarināt līdz 2026. gada 15. augustam;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un otrās kārtas projekta noslēguma dokumentācijas pārbaudi un noslēguma maksājumu līgumslēdzējs veic līdz 2026. gada 31. augustam, trešās kārtas projekta noslēguma dokumentācijas pārbaudi un noslēguma maksājumu – līdz 2026.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Līgumslēdzējam ir tiesības vienpusēji atkāpties no noslēgtā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kas paredzēti līgumā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21.01.2025. noteikumiem Nr. 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Līgumslēdzēja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Līgumslēdzējs pēc finansējuma saņēmēja pieprasījuma nodrošina finansējuma pieprasīšanu avansa maksājuma, starpposma maksājuma, noslēguma maksājuma un pievienotās vērtības nodokļa izmaksu segšanai, ja attiecināms, no valsts budžeta atbilstoši gadskārtējā valsts budžeta likumā noteikto apropriācijas izmaiņu veikšanu reglamentējošajiem normatīvajiem aktiem.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Līgumslēdzējs apstiprina projekta mērķa sasniegšanu, pamatojoties uz šo noteikumu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minēto dokumentu kopumu.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Līgumslēdzējs izlases veidā veic šādas normatīvajos aktos par Atveseļošanas fonda plāna īstenošanas un uzraudzības kārtību noteiktās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un korupcijas, un dubultfinansējuma riska pazīmēm;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ieviešanas progresa un sasniegto rādītāju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ticamības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09.12.2025. noteikumu Nr. 745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Grozījumi šo noteikumu 4.1.1.2.i. investīcijas nosaukumā, </w:t>
      </w:r>
      <w:r w:rsidR="00000000" w:rsidRPr="00000000" w:rsidDel="00000000">
        <w:rPr>
          <w:rtl w:val="0"/>
        </w:rPr>
        <w:t xml:space="preserve">1. punkta</w:t>
      </w:r>
      <w:r w:rsidR="00000000" w:rsidRPr="00000000" w:rsidDel="00000000">
        <w:rPr>
          <w:rtl w:val="0"/>
        </w:rPr>
        <w:t xml:space="preserve"> ievaddaļā, </w:t>
      </w:r>
      <w:r w:rsidR="00000000" w:rsidRPr="00000000" w:rsidDel="00000000">
        <w:rPr>
          <w:rtl w:val="0"/>
        </w:rPr>
        <w:t xml:space="preserve">5. punktā</w:t>
      </w:r>
      <w:r w:rsidR="00000000" w:rsidRPr="00000000" w:rsidDel="00000000">
        <w:rPr>
          <w:rtl w:val="0"/>
        </w:rPr>
        <w:t xml:space="preserve">,  </w:t>
      </w:r>
      <w:r w:rsidR="00000000" w:rsidRPr="00000000" w:rsidDel="00000000">
        <w:rPr>
          <w:rtl w:val="0"/>
        </w:rPr>
        <w:t xml:space="preserve">8.3. apakšpunktā</w:t>
      </w:r>
      <w:r w:rsidR="00000000" w:rsidRPr="00000000" w:rsidDel="00000000">
        <w:rPr>
          <w:rtl w:val="0"/>
        </w:rPr>
        <w:t xml:space="preserve"> par izmaiņām investīcijas ietvaros sasniedzamajā rādītājā, </w:t>
      </w:r>
      <w:r w:rsidR="00000000" w:rsidRPr="00000000" w:rsidDel="00000000">
        <w:rPr>
          <w:rtl w:val="0"/>
        </w:rPr>
        <w:t xml:space="preserve">15. punktā</w:t>
      </w:r>
      <w:r w:rsidR="00000000" w:rsidRPr="00000000" w:rsidDel="00000000">
        <w:rPr>
          <w:rtl w:val="0"/>
        </w:rPr>
        <w:t xml:space="preserve"> un </w:t>
      </w:r>
      <w:r w:rsidR="00000000" w:rsidRPr="00000000" w:rsidDel="00000000">
        <w:rPr>
          <w:rtl w:val="0"/>
        </w:rPr>
        <w:t xml:space="preserve">43.4. apakšpunktā</w:t>
      </w:r>
      <w:r w:rsidR="00000000" w:rsidRPr="00000000" w:rsidDel="00000000">
        <w:rPr>
          <w:rtl w:val="0"/>
        </w:rPr>
        <w:t xml:space="preserve">,  kā arī </w:t>
      </w:r>
      <w:r w:rsidR="00000000" w:rsidRPr="00000000" w:rsidDel="00000000">
        <w:rPr>
          <w:rtl w:val="0"/>
        </w:rPr>
        <w:t xml:space="preserve">8.2. apakšpunkta</w:t>
      </w:r>
      <w:r w:rsidR="00000000" w:rsidRPr="00000000" w:rsidDel="00000000">
        <w:rPr>
          <w:rtl w:val="0"/>
        </w:rPr>
        <w:t xml:space="preserve">, </w:t>
      </w:r>
      <w:r w:rsidR="00000000" w:rsidRPr="00000000" w:rsidDel="00000000">
        <w:rPr>
          <w:rtl w:val="0"/>
        </w:rPr>
        <w:t xml:space="preserve">21. punkta</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punkta</w:t>
      </w:r>
      <w:r w:rsidR="00000000" w:rsidRPr="00000000" w:rsidDel="00000000">
        <w:rPr>
          <w:rtl w:val="0"/>
        </w:rPr>
        <w:t xml:space="preserve"> </w:t>
      </w:r>
      <w:r w:rsidR="00000000" w:rsidRPr="00000000" w:rsidDel="00000000">
        <w:rPr>
          <w:rtl w:val="0"/>
        </w:rPr>
        <w:t xml:space="preserve">svītrošana stājas spēkā vienlaikus ar Eiropas Komisijas lēmumu par attiecīgajiem Atveseļošanas fonda plāna grozījumu priekšlikumiem. Veselības ministrija pēc tam, kad ir stājies spēkā Eiropas Komisijas lēmums par Atveseļošanas fonda plāna grozījumu priekšlikumiem,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745 redakcijā; minētie grozījumi stājas spēkā 13.12.2025., sk. </w:t>
      </w:r>
      <w:r w:rsidR="00000000" w:rsidRPr="00000000" w:rsidDel="00000000">
        <w:rPr>
          <w:rStyle w:val="paragraph"/>
          <w:i w:val="1"/>
          <w:rtl w:val="0"/>
        </w:rPr>
        <w:t xml:space="preserve">oficiālo paziņojumu</w:t>
      </w:r>
      <w:r w:rsidR="00000000" w:rsidRPr="00000000" w:rsidDel="00000000">
        <w:rPr>
          <w:rStyle w:val="paragraph"/>
          <w:i w:val="1"/>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26-TA-702</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26-TA-702</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noteikumu_konsolidētā_versija_26-TA-702.docx</dc:title>
</cp:coreProperties>
</file>

<file path=docProps/custom.xml><?xml version="1.0" encoding="utf-8"?>
<Properties xmlns="http://schemas.openxmlformats.org/officeDocument/2006/custom-properties" xmlns:vt="http://schemas.openxmlformats.org/officeDocument/2006/docPropsVTypes"/>
</file>