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389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7. jūlijā (prot. Nr. 36 17.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Jūras transporta nododamo kvotu apjoma noteikšanas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piesārņojumu" 32.²² panta</w:t>
      </w:r>
      <w:r w:rsidR="00000000" w:rsidRPr="00000000" w:rsidDel="00000000">
        <w:rPr>
          <w:rStyle w:val="paragraph"/>
          <w:i w:val="1"/>
          <w:rtl w:val="0"/>
        </w:rPr>
        <w:t xml:space="preserve"> piekto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nododamo emisijas kvotu apjomu un atkāpes no kvotu nodošanas pienākuma kuģošanas sabiedrībām saskaņā ar </w:t>
      </w:r>
      <w:r w:rsidR="00000000" w:rsidRPr="00000000" w:rsidDel="00000000">
        <w:rPr>
          <w:rtl w:val="0"/>
        </w:rPr>
        <w:t xml:space="preserve">likuma "Par piesārņojumu" 32.</w:t>
      </w:r>
      <w:r w:rsidR="00000000" w:rsidRPr="00000000" w:rsidDel="00000000">
        <w:rPr>
          <w:vertAlign w:val="superscript"/>
          <w:rtl w:val="0"/>
        </w:rPr>
        <w:t xml:space="preserve">27</w:t>
      </w:r>
      <w:r w:rsidR="00000000" w:rsidRPr="00000000" w:rsidDel="00000000">
        <w:rPr>
          <w:rtl w:val="0"/>
        </w:rPr>
        <w:t xml:space="preserve"> panta</w:t>
      </w:r>
      <w:r w:rsidR="00000000" w:rsidRPr="00000000" w:rsidDel="00000000">
        <w:rPr>
          <w:rtl w:val="0"/>
        </w:rPr>
        <w:t xml:space="preserve">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Kuģošanas sabiedrība emisijas vienību reģistrā nodod emisijas kvotas pēc šāda grafika: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40 procentus no verificētajām emisijām, kuras paziņotas par 2024. gadu;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70 procentus no verificētajām emisijām, kuras paziņotas par 2025. gadu;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100 procentus no verificētajām emisijām, kuras paziņotas par 2026. gadu un pēc tam par katru gadu.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Kuģošanas sabiedrības, uz kurām attiecas </w:t>
      </w:r>
      <w:r w:rsidR="00000000" w:rsidRPr="00000000" w:rsidDel="00000000">
        <w:rPr>
          <w:rtl w:val="0"/>
        </w:rPr>
        <w:t xml:space="preserve">likuma "Par piesārņojumu" 32.</w:t>
      </w:r>
      <w:r w:rsidR="00000000" w:rsidRPr="00000000" w:rsidDel="00000000">
        <w:rPr>
          <w:vertAlign w:val="superscript"/>
          <w:rtl w:val="0"/>
        </w:rPr>
        <w:t xml:space="preserve">27</w:t>
      </w:r>
      <w:r w:rsidR="00000000" w:rsidRPr="00000000" w:rsidDel="00000000">
        <w:rPr>
          <w:rtl w:val="0"/>
        </w:rPr>
        <w:t xml:space="preserve"> panta</w:t>
      </w:r>
      <w:r w:rsidR="00000000" w:rsidRPr="00000000" w:rsidDel="00000000">
        <w:rPr>
          <w:rtl w:val="0"/>
        </w:rPr>
        <w:t xml:space="preserve"> pirmā daļa, var nodot par pieciem procentiem mazāk emisijas kvotu nekā to verificētās emisijas, kas līdz 2030. gada 31. decembrim radušās no ledus klases kuģiem, ar noteikumu, ka šādiem kuģiem ir IA vai IA</w:t>
      </w:r>
      <w:r w:rsidR="00000000" w:rsidRPr="00000000" w:rsidDel="00000000">
        <w:rPr>
          <w:i w:val="1"/>
          <w:rtl w:val="0"/>
        </w:rPr>
        <w:t xml:space="preserve"> Super</w:t>
      </w:r>
      <w:r w:rsidR="00000000" w:rsidRPr="00000000" w:rsidDel="00000000">
        <w:rPr>
          <w:rtl w:val="0"/>
        </w:rPr>
        <w:t xml:space="preserve"> ledus klase vai līdzvērtīga ledus klase, kas noteikta, pamatojoties uz šo noteikumu </w:t>
      </w:r>
      <w:r w:rsidR="00000000" w:rsidRPr="00000000" w:rsidDel="00000000">
        <w:rPr>
          <w:rtl w:val="0"/>
        </w:rPr>
        <w:t xml:space="preserve">1.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Kuģošanas sabiedrībai nav jānodod </w:t>
      </w:r>
      <w:r w:rsidR="00000000" w:rsidRPr="00000000" w:rsidDel="00000000">
        <w:rPr>
          <w:rtl w:val="0"/>
        </w:rPr>
        <w:t xml:space="preserve">likuma "Par piesārņojumu" 32.</w:t>
      </w:r>
      <w:r w:rsidR="00000000" w:rsidRPr="00000000" w:rsidDel="00000000">
        <w:rPr>
          <w:vertAlign w:val="superscript"/>
          <w:rtl w:val="0"/>
        </w:rPr>
        <w:t xml:space="preserve">27</w:t>
      </w:r>
      <w:r w:rsidR="00000000" w:rsidRPr="00000000" w:rsidDel="00000000">
        <w:rPr>
          <w:rtl w:val="0"/>
        </w:rPr>
        <w:t xml:space="preserve"> panta</w:t>
      </w:r>
      <w:r w:rsidR="00000000" w:rsidRPr="00000000" w:rsidDel="00000000">
        <w:rPr>
          <w:rtl w:val="0"/>
        </w:rPr>
        <w:t xml:space="preserve"> ceturtajā daļā noteiktās emisijas kvotas par emisijām, kas līdz 2030. gada 31. decembrim radušās: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pasažieru kuģu, kas nav kruīza kuģi, un ro-ro pasažieru kuģu reisos starp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norādīto salas ostu un tās pašas dalībvalsts jurisdikcijā esošu ostu, kā arī no tādām darbībām ostā, ko šādi kuģi veic saistībā ar šādiem reisiem. Šī apakšpunkta izpratnē kruīza kuģis ir pasažieru kuģis, kam nav kravas klāja un kas paredzēts vienīgi pasažieru komercpārvadājumiem un kas nodrošina naktsmītnes jūras reisā;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pasažieru kuģu vai ro-ro pasažieru kuģu reisos, kurus tie veic saskaņā ar starptautisku publisko pakalpojumu līgumu vai starptautiskām sabiedrisko pakalpojumu saistībām un kuri savieno divas dalībvalstis, kā norādīts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kā arī no tādām darbībām ostā, ko šādi kuģi veic saistībā ar šādiem reisiem;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gan reisos starp ostu, kas atrodas Eiropas Savienības dalībvalsts tālākajā reģionā, un ostu, kas atrodas tajā pašā Eiropas Savienības dalībvalstī (tostarp reisi starp ostām tālākajos reģionos un reisi starp ostām tās pašas Eiropas Savienības dalībvalsts tālākajos reģionos), gan arī no tādām minēto kuģu darbībām ostā, ko šādi kuģi veic saistībā ar šādiem reisiem. Šī apakšpunkta izpratnē tālākais reģions ir piestāšanas ostā, kā noteikts </w:t>
      </w:r>
      <w:r w:rsidR="00000000" w:rsidRPr="00000000" w:rsidDel="00000000">
        <w:rPr>
          <w:rtl w:val="0"/>
        </w:rPr>
        <w:t xml:space="preserve">likuma "Par piesārņojumu" 1. panta</w:t>
      </w:r>
      <w:r w:rsidR="00000000" w:rsidRPr="00000000" w:rsidDel="00000000">
        <w:rPr>
          <w:rtl w:val="0"/>
        </w:rPr>
        <w:t xml:space="preserve"> pirmās daļas 34. punktā, kuras atrodas šādu valstu jurisdikcijā: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Spānija (Kanāriju salas);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Francija (Gvadelupa, Francijas Gviāna, Martinika, Majota, Senmartēna, Reinjona);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Portugāle (Madeira, Azoru salas).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2018. gada 17. jūlija noteikumus Nr. 430 "Kārtība, kādā sagatavo, pārbauda un iesniedz ziņojumu par jūras transporta oglekļa dioksīda emisijām"</w:t>
      </w:r>
      <w:r w:rsidR="00000000" w:rsidRPr="00000000" w:rsidDel="00000000">
        <w:rPr>
          <w:rtl w:val="0"/>
        </w:rPr>
        <w:t xml:space="preserve"> (Latvijas Vēstnesis, 2018, 142. nr.).</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2023. gada 10. maija direktīvas (ES) </w:t>
      </w:r>
      <w:r w:rsidR="00000000" w:rsidRPr="00000000" w:rsidDel="00000000">
        <w:rPr>
          <w:rtl w:val="0"/>
        </w:rPr>
        <w:t xml:space="preserve">2023/959</w:t>
      </w:r>
      <w:r w:rsidR="00000000" w:rsidRPr="00000000" w:rsidDel="00000000">
        <w:rPr>
          <w:rtl w:val="0"/>
        </w:rPr>
        <w:t xml:space="preserve">, ar ko groza direktīvu 2003/87/EK, ar kuru nosaka sistēmu siltumnīcas efektu izraisošo gāzu emisijas kvotu tirdzniecībai Savienībā, un lēmumu (ES) 2015/1814 par Savienības siltumnīcefekta gāzu emisijas kvotu tirdzniecības sistēmas tirgus stabilitātes rezerves izveidi un darbību.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Kulbergs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Klimata un enerģētikas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J. Vitenbergs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24-TA-902</w:t>
    </w:r>
    <w:r>
      <w:br/>
    </w:r>
    <w:r w:rsidR="00000000" w:rsidRPr="00000000" w:rsidDel="00000000">
      <w:rPr>
        <w:rtl w:val="0"/>
      </w:rPr>
      <w:t xml:space="preserve">Izdrukāts 30.07.2026. 00.22 - 1.0.VK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24-TA-902</w:t>
    </w:r>
    <w:r>
      <w:br/>
    </w:r>
    <w:r w:rsidR="00000000" w:rsidRPr="00000000" w:rsidDel="00000000">
      <w:rPr>
        <w:rtl w:val="0"/>
      </w:rPr>
      <w:t xml:space="preserve">Izdrukāts 30.07.2026. 00.22 - 1.0.VK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noteikumu_projekts_24-TA-902.docx</dc:title>
</cp:coreProperties>
</file>

<file path=docProps/custom.xml><?xml version="1.0" encoding="utf-8"?>
<Properties xmlns="http://schemas.openxmlformats.org/officeDocument/2006/custom-properties" xmlns:vt="http://schemas.openxmlformats.org/officeDocument/2006/docPropsVTypes"/>
</file>