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12. septembrī (prot. Nr. 44 49.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4.3.6. specifiskā atbalsta mērķa "Veicināt nabadzības vai sociālās atstumtības riskam pakļauto cilvēku, tostarp vistrūcīgāko un bērnu, sociālo integrāciju" 4.3.6.8. pasākumu "IKT sistēmu modernizācija labākas bērnu tiesību aizsardzības sistēmas nodrošināšanai"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finansējuma saņēmējam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izstrādāt vienotu risku analīzes un vadības informācijas sistēmu agrīnai bērnu attīstības vajadzību identificēšanai (turpmāk – informācijas sistēma), koordinētai nepieciešamo veselības aprūpes un agrīnās intervences pakalpojumu, kā arī atbalsta pasākumu izglītības vidē plānošanai un nodrošināšanas uzraudzībai.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tiešās valsts pārvaldes iestādes.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līdz 2029. gada 31. decembrim sasniedzams šāds rezultāta rādītājs: iestāžu skaits, kas sniedz datus un izmanto risku analīzes un vadības informācijas sistēmu agrīnā preventīvā atbalsta vajadzību noteikšanai, – 1090.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ir sasniedzami šādi iznākuma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 reģionāla vai vietēja mēroga valsts administrācijas vai sabiedrisko pakalpojumu iestāžu un pakalpojumu skaits, kas saņēmuši atbalstu līdz 2024. gada 31. decembrim, – sešas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 reģionāla vai vietēja mēroga valsts administrācijas vai sabiedrisko pakalpojumu iestāžu un pakalpojumu skaits, kas saņēmuši atbalstu līdz 2029. gada 31. decembrim, – sešas iestādes.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Valsts kanceleja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plānotais kopējais attiecināmais finansējums ir 4 350 000 </w:t>
      </w:r>
      <w:r w:rsidR="00000000" w:rsidRPr="00000000" w:rsidDel="00000000">
        <w:rPr>
          <w:i w:val="1"/>
          <w:rtl w:val="0"/>
        </w:rPr>
        <w:t xml:space="preserve">euro</w:t>
      </w:r>
      <w:r w:rsidR="00000000" w:rsidRPr="00000000" w:rsidDel="00000000">
        <w:rPr>
          <w:rtl w:val="0"/>
        </w:rPr>
        <w:t xml:space="preserve"> (tostarp elastības finansējuma apjoms 686 321 </w:t>
      </w:r>
      <w:r w:rsidR="00000000" w:rsidRPr="00000000" w:rsidDel="00000000">
        <w:rPr>
          <w:i w:val="1"/>
          <w:rtl w:val="0"/>
        </w:rPr>
        <w:t xml:space="preserve">euro</w:t>
      </w:r>
      <w:r w:rsidR="00000000" w:rsidRPr="00000000" w:rsidDel="00000000">
        <w:rPr>
          <w:rtl w:val="0"/>
        </w:rPr>
        <w:t xml:space="preserve">), tai skaitā Eiropas Sociālā fonda Plus finansējums 3 697 500 </w:t>
      </w:r>
      <w:r w:rsidR="00000000" w:rsidRPr="00000000" w:rsidDel="00000000">
        <w:rPr>
          <w:i w:val="1"/>
          <w:rtl w:val="0"/>
        </w:rPr>
        <w:t xml:space="preserve">euro</w:t>
      </w:r>
      <w:r w:rsidR="00000000" w:rsidRPr="00000000" w:rsidDel="00000000">
        <w:rPr>
          <w:rtl w:val="0"/>
        </w:rPr>
        <w:t xml:space="preserve"> (tostarp elastības finansējuma apjoms 583 373 </w:t>
      </w:r>
      <w:r w:rsidR="00000000" w:rsidRPr="00000000" w:rsidDel="00000000">
        <w:rPr>
          <w:i w:val="1"/>
          <w:rtl w:val="0"/>
        </w:rPr>
        <w:t xml:space="preserve">euro</w:t>
      </w:r>
      <w:r w:rsidR="00000000" w:rsidRPr="00000000" w:rsidDel="00000000">
        <w:rPr>
          <w:rtl w:val="0"/>
        </w:rPr>
        <w:t xml:space="preserve">) un valsts budžeta līdzfinansējums 652 500 </w:t>
      </w:r>
      <w:r w:rsidR="00000000" w:rsidRPr="00000000" w:rsidDel="00000000">
        <w:rPr>
          <w:i w:val="1"/>
          <w:rtl w:val="0"/>
        </w:rPr>
        <w:t xml:space="preserve">euro</w:t>
      </w:r>
      <w:r w:rsidR="00000000" w:rsidRPr="00000000" w:rsidDel="00000000">
        <w:rPr>
          <w:rtl w:val="0"/>
        </w:rPr>
        <w:t xml:space="preserve"> (tostarp elastības finansējuma apjoms 102 948 </w:t>
      </w:r>
      <w:r w:rsidR="00000000" w:rsidRPr="00000000" w:rsidDel="00000000">
        <w:rPr>
          <w:i w:val="1"/>
          <w:rtl w:val="0"/>
        </w:rPr>
        <w:t xml:space="preserve">euro</w:t>
      </w:r>
      <w:r w:rsidR="00000000" w:rsidRPr="00000000" w:rsidDel="00000000">
        <w:rPr>
          <w:rtl w:val="0"/>
        </w:rPr>
        <w:t xml:space="preserve">). Maksimālā Eiropas Sociālā fonda Plus finansējuma intensitāte ir 85 %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Projektu iesniegumos pasākuma īstenošanai kopējo pasākumam pieejamo finansējumu plāno ne vairāk kā 3 663 679 </w:t>
      </w:r>
      <w:r w:rsidR="00000000" w:rsidRPr="00000000" w:rsidDel="00000000">
        <w:rPr>
          <w:i w:val="1"/>
          <w:rtl w:val="0"/>
        </w:rPr>
        <w:t xml:space="preserve">euro</w:t>
      </w:r>
      <w:r w:rsidR="00000000" w:rsidRPr="00000000" w:rsidDel="00000000">
        <w:rPr>
          <w:rtl w:val="0"/>
        </w:rPr>
        <w:t xml:space="preserve"> apmērā, tai skaitā Eiropas Sociālā fonda Plus finansējumu – 3 114 127 </w:t>
      </w:r>
      <w:r w:rsidR="00000000" w:rsidRPr="00000000" w:rsidDel="00000000">
        <w:rPr>
          <w:i w:val="1"/>
          <w:rtl w:val="0"/>
        </w:rPr>
        <w:t xml:space="preserve">euro</w:t>
      </w:r>
      <w:r w:rsidR="00000000" w:rsidRPr="00000000" w:rsidDel="00000000">
        <w:rPr>
          <w:rtl w:val="0"/>
        </w:rPr>
        <w:t xml:space="preserve"> apmērā, valsts budžeta līdzfinansējumu – 549 552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8.</w:t>
      </w:r>
      <w:r w:rsidR="00000000" w:rsidRPr="00000000" w:rsidDel="00000000">
        <w:rPr>
          <w:rtl w:val="0"/>
        </w:rPr>
        <w:t xml:space="preserve"> punktā minētajam plānotajam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Pasākumu īsteno ierobežotas projektu iesniegumu atlases veidā vienā projektu iesniegumu atlases kārtā par visu pasākumam pieejamo finansējumu.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finansējuma saņēmējam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ir Valsts kanceleja.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saskaņā ar projektu iesniegumu atlases nolikumu sagatavo projekta iesniegumu, pievienojot projektam veikto izmaksu un ieguvumu analīzi, un iesniedz to sadarbības iestādē, izmantojot Kohēzijas politikas fondu vadības informācijas sistēmu. Ja sadarbības iestāde apstiprina projekta iesniegumu, projekta iesniedzējs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projekta īstenošanai var piesaistīt sadarbības partnerus – valsts pārvaldes iestādes, valsts kapitālsabiedrības, pašvaldību iestādes un citas iestādes, kuras varētu sekmēt šo noteikumu </w:t>
      </w:r>
      <w:r w:rsidR="00000000" w:rsidRPr="00000000" w:rsidDel="00000000">
        <w:rPr>
          <w:rtl w:val="0"/>
        </w:rPr>
        <w:t xml:space="preserve">2.</w:t>
      </w:r>
      <w:r w:rsidR="00000000" w:rsidRPr="00000000" w:rsidDel="00000000">
        <w:rPr>
          <w:rtl w:val="0"/>
        </w:rPr>
        <w:t xml:space="preserve"> punktā minētā pasākuma mērķa sasniegšanu.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ar sadarbības partneri slēdz sadarbības līgumu atbilstoši normatīvajiem aktiem par kārtību, kādā Eiropas Savienības fondu vadībā iesaistītās institūcijas nodrošina šo fondu ieviešanu 2021.–2027. gada plānošanas periodā. Sadarbības līgums nosaka savstarpējo atbildību, funkcijas, finansēšanas mehānismu (ja attiecināms), pārskatu sniegšanas kārtību un pienākumus projekta sekmīgai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līdz projekta iesnieguma iesniegšanas dienai nav noslēgts sadarbības līgums, projekta iesniegumam pievieno finansējuma saņēmēja un sadarbības partnera noslēgtu nodomu protokolu. Nodomu protokolā iekļauj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apņemšanās sadarboties projekta īstenošanā, tai skaitā noslēgt sadarbības līgumu, ja projekta iesniegums tiks apstiprināts;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norāde par sadarbības partnera veicamajiem pienākumiem šo noteikumu </w:t>
      </w:r>
      <w:r w:rsidR="00000000" w:rsidRPr="00000000" w:rsidDel="00000000">
        <w:rPr>
          <w:rtl w:val="0"/>
        </w:rPr>
        <w:t xml:space="preserve">17.</w:t>
      </w:r>
      <w:r w:rsidR="00000000" w:rsidRPr="00000000" w:rsidDel="00000000">
        <w:rPr>
          <w:rtl w:val="0"/>
        </w:rPr>
        <w:t xml:space="preserve"> punktā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kārtība, kādā veicami norēķini ar sadarbības partneri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kārtība, kādā sagatavo un iesniedz attiecināmās izmaksas pamatojošos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kārtība, kādā sadarbības partneris atmaksā neatbilstoši veiktos izdevumus, kurus konstatējusi sadarbības iestāde, un iespējami neatbilstoši veiktos izdevumus, kurus konstatējis finansējuma saņēmējs.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finansējuma saņēmējam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sistēmas klientu un lietotāju vajadzību izpēte;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pakalpojumu sniegšanas procesu un darbību dizains, pārveide, pilnveide un pielāgošana digitalizācijai;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 kvalitātes pilnveide un datu atkalizmantošanas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sistēmas funkcionālo un nefunkcionālo prasību un arhitektūras apraksta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sistēmas izstrādes tehniskās specifikācijas un iepirkuma dokumentācijas sagatavošana;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sistēmas un tās moduļu izstrāde, attīstība, pilotēšana, ieviešana un savietošana ar citām informācijas sistēmām, tai skaitā esošo saskarņu pārveidošana un jaunu saskarņu izveide, kā arī digitālās piekļūstamības prasību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tehnikas un programmatūras noma un pakalpojumu izmantošana (izņemot iegādi) informācijas sistēmas darbības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autoruzraudzība informācijas sistēmas izstrādes un ieviešanas gaitā, tai skaitā sistēmas funkcionālo prasību izpildes pārbaude, sistēmas nefunkcionālo prasību pārbaude, projekta nodevumu pārbaude u. tml.;</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informācijas sistēmas lietotāju apmācību organizēšana;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konsultantu, ekspertu un speciālistu piesaiste;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īstenošanai un projekta rezultātu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apakšpunktā minētās tiešās attiecināmās izmaksas ietver šādas finansējuma saņēmēja un sadarbības partnera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 (projekta vadības un projekta īstenošanas personāla atlīdzības izmaksas), izņemot virsstundas, šo noteikumu </w:t>
      </w:r>
      <w:r w:rsidR="00000000" w:rsidRPr="00000000" w:rsidDel="00000000">
        <w:rPr>
          <w:rtl w:val="0"/>
        </w:rPr>
        <w:t xml:space="preserve">17.12.</w:t>
      </w:r>
      <w:r w:rsidR="00000000" w:rsidRPr="00000000" w:rsidDel="00000000">
        <w:rPr>
          <w:rtl w:val="0"/>
        </w:rPr>
        <w:t xml:space="preserve"> apakšpunktā minētās atbalstāmās darbības īstenošanai atbilstoši atbildīgās iestādes apstiprinātajai vienkāršoto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ieviešanas dokumentācijas izstrādes izmaksas, tai skaitā autoruzraudzības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tai skaitā projekta izmaksu un ekonomisko ieguvumu aprēķina izstrādes izmaksas un tehniski ekonomiskā pamatojuma izstrāde;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biznesa procesu un biznesa prasību specifikāciju izstrādes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sistēmas izstrādes vai iegādes iepirkuma tehniskās specifikācijas izstrādes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projektēšanas, izstrādes vai iegādes un datu pārvaldības ieviešanas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sistēmas projekta izmaksas, tai skaitā informācijas sistēmas arhitektūras, lietotāju saskarnes un citu nepieciešamo projektu izstrāde saskaņā ar izvēlēto izstrādes metodi;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un tās atsevišķo moduļu programmatūras izstrādes vai iegādes izmaksas, tai skaitā integrācijas saskarņu izstrādes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programmatūras sistēmas licenču iegādes izmaksas, tai skaitā atjauninājumu izmaksas licenču darbības periodā;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programmatūras lietotāja un administratora lietošanas atbalsta materiālu (tostarp interaktīvu materiālu un rokasgrāmatu) izstrādes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importa un migrācijas izmaksas, tai skaitā datu semantiskās un tehniskās savietojamības nodrošināšanas izmaksas, datu strukturēšanas un datu bagātināšanas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resursu digitalizācijas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mācību materiālu izstrādes un apmācību nodrošināšanas izmaksas informācijas sistēmas administratoriem un lietotājiem, kuri, izmantojot informācijas sistēmu, nodrošina pakalpojumu sniegšanu;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 kvalitātes auditu un datu kvalitātes uzlabojumu veikšanas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ietvaros izveidotas informācijas sistēmas uzturēšanas izmaksas no tās izstrādes dienas projekta aktivitāšu apjomā, tai skaitā informācijas un komunikācijas tehnoloģiju ārpakalpojumu izmantošanas izmaksas informācijas sistēmas darbības nodrošināšanai projekta īstenošanas laikā;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informācijas tehnoloģiju risinājuma koda attīrīšanas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komunikācijas tehnoloģiju infrastruktūras pakalpojumu izmaksas, tai skaitā mākoņdatošanas un saistīto pakalpojumu izmaksas informācijas sistēmas izstrādes un ieviešanas nodrošināšanai projekta laikā;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sistēmas izstrādes vai iegādes un ieviešanas kvalitātes kontroles izmaksas, tai skaitā testēšanas izmaksas un informācijas sistēmas ieviešanas autoruzraudzības un projekta dokumentācijas izstrādes un aktualizācijas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ietvaros izstrādājamās informācijas sistēmas audita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lietotāju un klientu vajadzību analīzes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komunikācijas un vizuālās identitātes pasākumu īstenošanas izmaksas, lai izplatītu informāciju par projekta ietvaros radītās informācijas sistēmas darbību un ar to saistīto pakalpojumu sniegšanu lietotājiem un klientiem;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pasākumu izmaksas atbilstoši Eiropas Parlamenta un Padomes 2021. gada 24. jūnija </w:t>
      </w:r>
      <w:r w:rsidR="00000000" w:rsidRPr="00000000" w:rsidDel="00000000">
        <w:rPr>
          <w:rtl w:val="0"/>
        </w:rPr>
        <w:t xml:space="preserve">Regulas (ES) 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pantam, normatīvajiem aktiem, kas nosaka </w:t>
      </w:r>
      <w:r w:rsidR="00000000" w:rsidRPr="00000000" w:rsidDel="00000000">
        <w:rPr>
          <w:rtl w:val="0"/>
        </w:rPr>
        <w:t xml:space="preserve">kārtību, kādā Eiropas Savienības fondu vadībā iesaistītās institūcijas nodrošina šo fondu ieviešanu 2021.–2027. gada plānošanas periodā</w:t>
      </w:r>
      <w:r w:rsidR="00000000" w:rsidRPr="00000000" w:rsidDel="00000000">
        <w:rPr>
          <w:rtl w:val="0"/>
        </w:rPr>
        <w:t xml:space="preserve">, kā arī Eiropas Savienības fondu 2021.–2027. gada plānošanas perioda un Atveseļošanas fonda komunikācijas un dizaina vadlīnijām;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ārvalstu komandējumu izmaksas (tai skaitā ārpus Eiropas Savienības) projekta vadītājam un īstenošanas personālam un iekšzemes komandējumu, darba braucienu izmaksas, kā arī mācību maksa atbilstoši normatīvajiem aktiem par </w:t>
      </w:r>
      <w:r w:rsidR="00000000" w:rsidRPr="00000000" w:rsidDel="00000000">
        <w:rPr>
          <w:rtl w:val="0"/>
        </w:rPr>
        <w:t xml:space="preserve">kārtību, kādā atlīdzināmi ar komandējumiem saistītie izdevumi</w:t>
      </w:r>
      <w:r w:rsidR="00000000" w:rsidRPr="00000000" w:rsidDel="00000000">
        <w:rPr>
          <w:rtl w:val="0"/>
        </w:rPr>
        <w:t xml:space="preserve">. Iekšzemes komandējumu izmaksas tiek segtas atbilstoši vadošās iestādes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jaunradītu darba vietu aprīkojuma, biroja mēbeļu un tehnikas, datorprogrammu un licenču iegādes vai nomas izmaksas, tai skaitā aprīkojuma uzturēšanas un remonta izmaksas, bet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ir nodarbināts projektā uz darba līguma pamata vismaz 30 % apmērā no normālā darba laika. Darba vietu aprīkojuma izmaksas ir attiecināmas arī gadījumos, ja esošo darba vietu aprīkojums ir nolietojies un tiek norakstīts. Ja projekta vadības un projekta īstenošanas personāls ir nodarbināts pilnu darba laiku, darba vietas aprīkojuma izmaksas ir attiecināmas 100 % apmērā. Ja projekta vadības un īstenošanas personāls ir nodarbināts nepilnu darba laiku vai daļlaiku, darba vietas aprīkojuma izmaksas ir attiecināmas, ņemot vērā darbinieka iesaistes periodu projektā pret projekta kopējo īstenošanas ilgumu, kā arī daļlaika proporciju darbam projektā;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transporta pakalpojumu izmaksas (maksa par degvielu, transportlīdzekļu noma, transporta pakalpojumu pirkšana, maksa par sabiedriskā transporta izmantošanu) atbilstoši vadošās iestādes metodikā "Vienas vienības izmaksu standarta likmes aprēķina un piemērošanas metodika 1 km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tai skaitā pandusu nomas, indukcijas cilpu nomas, zīmju valodas tulku un vieglās valodas tulkošanas pakalpojumu izmaksas, subtitrēšanas un reāllaika transkripcijas pakalpojumu izmaksas, ja tas ir nepieciešams vides un informācijas pieejamības nodrošināšanai, un ekspertu konsultāciju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w:t>
      </w:r>
      <w:r w:rsidR="00000000" w:rsidRPr="00000000" w:rsidDel="00000000">
        <w:rPr>
          <w:rtl w:val="0"/>
        </w:rPr>
        <w:t xml:space="preserve"> apakšpunktā minētās netiešās attiecināmās izmaksas plāno kā vienu izmaksu pozīciju, piemērojot netiešo izmaksu vienoto likmi 15 % apmērā no šo noteikumu </w:t>
      </w:r>
      <w:r w:rsidR="00000000" w:rsidRPr="00000000" w:rsidDel="00000000">
        <w:rPr>
          <w:rtl w:val="0"/>
        </w:rPr>
        <w:t xml:space="preserve">19.1.</w:t>
      </w:r>
      <w:r w:rsidR="00000000" w:rsidRPr="00000000" w:rsidDel="00000000">
        <w:rPr>
          <w:rtl w:val="0"/>
        </w:rPr>
        <w:t xml:space="preserve"> apakšpunktā minētajām tiešajām attiecināmajām personāla izmaksām, saskaņā ar regulas </w:t>
      </w:r>
      <w:r w:rsidR="00000000" w:rsidRPr="00000000" w:rsidDel="00000000">
        <w:rPr>
          <w:rtl w:val="0"/>
        </w:rPr>
        <w:t xml:space="preserve">Nr. 2021/1060</w:t>
      </w:r>
      <w:r w:rsidR="00000000" w:rsidRPr="00000000" w:rsidDel="00000000">
        <w:rPr>
          <w:rtl w:val="0"/>
        </w:rPr>
        <w:t xml:space="preserve"> 54. panta "b" apakšpunktu.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regulas </w:t>
      </w:r>
      <w:r w:rsidR="00000000" w:rsidRPr="00000000" w:rsidDel="00000000">
        <w:rPr>
          <w:rtl w:val="0"/>
        </w:rPr>
        <w:t xml:space="preserve">Nr. 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18.3.</w:t>
      </w:r>
      <w:r w:rsidR="00000000" w:rsidRPr="00000000" w:rsidDel="00000000">
        <w:rPr>
          <w:rtl w:val="0"/>
        </w:rPr>
        <w:t xml:space="preserve"> apakšpunktā minētās neparedzētās izmaksas projektā plāno kā vienu izdevumu pozīciju un izlieto papildu darbu vai pakalpojumu veikšanai, kas neparedzamu apstākļu dēļ ir kļuvuši nepieciešami (izņemot sadārdzinājumu), lai varētu nodrošināt par projekta īstenošanu noslēgto līgumu izpildi, ja finansējuma saņēmējs ir veicis visus plānošanas pasākumus, lai šādus izdevumus novērstu. Neparedzētās izmaksas nepārsniedz divus procentus no šo noteikumu </w:t>
      </w:r>
      <w:r w:rsidR="00000000" w:rsidRPr="00000000" w:rsidDel="00000000">
        <w:rPr>
          <w:rtl w:val="0"/>
        </w:rPr>
        <w:t xml:space="preserve">18.1.</w:t>
      </w:r>
      <w:r w:rsidR="00000000" w:rsidRPr="00000000" w:rsidDel="00000000">
        <w:rPr>
          <w:rtl w:val="0"/>
        </w:rPr>
        <w:t xml:space="preserve"> apakšpunktā minētajām tiešajām izmaksām, un to izlietošanu finansējuma saņēmējs saskaņo ar sadarbības iestādi, ievērojot vienošanos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izmaksas ir attiecināmas, ja tās atbilst šajos noteikumos minētajām izmaksu pozīcijām un ir radušās ne agrāk kā par 2023. gada 1. janvāri.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Īstenojot projektu, finansējuma saņēmējs un sadarbības partneris: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līgumos, kurus slēdz šo noteikumu </w:t>
      </w:r>
      <w:r w:rsidR="00000000" w:rsidRPr="00000000" w:rsidDel="00000000">
        <w:rPr>
          <w:rtl w:val="0"/>
        </w:rPr>
        <w:t xml:space="preserve">17.</w:t>
      </w:r>
      <w:r w:rsidR="00000000" w:rsidRPr="00000000" w:rsidDel="00000000">
        <w:rPr>
          <w:rtl w:val="0"/>
        </w:rPr>
        <w:t xml:space="preserve"> punktā minēto atbalstāmo darbību īstenošanai, atkarībā no līguma veida un satura var paredzēt avansa maksājumus ne vairāk kā 20 % apmērā no attiecīgā līguma summas (ieskaitot pievienotās vērtības nodokli);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w:t>
      </w:r>
      <w:r w:rsidR="00000000" w:rsidRPr="00000000" w:rsidDel="00000000">
        <w:rPr>
          <w:rtl w:val="0"/>
        </w:rPr>
        <w:t xml:space="preserve">Nr. 2021/1060</w:t>
      </w:r>
      <w:r w:rsidR="00000000" w:rsidRPr="00000000" w:rsidDel="00000000">
        <w:rPr>
          <w:rtl w:val="0"/>
        </w:rPr>
        <w:t xml:space="preserve"> 47. un 50. pantu,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retāk kā reizi trijos mēnešos ievieto savā tīmekļvietnē aktuālo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visas preces un pakalpojumi tiks iepirkti atklātā, pārredzamā, nediskriminējošā un konkurenci nodrošinošā procedūrā, ievērojot publiskā iepirkuma procedūru regulējošos normatīvos aktus, un, kur tas ir attiecināms, īsteno sociāli atbildīgus un inovatīvus publiskos iepirkumus, kā arī sekmē zaļā publiskā iepirkuma prasību ievērošanu atbilstoši normatīvajiem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atbildīgs par dubultā finansējuma un interešu konflikta riska novēršanu un demarkācijas nodrošināšanu ar citiem līdzīgiem vai saistītiem projektiem un nodrošina, lai pasākuma ietvaros plānotais atbalsts nepārklātos ar citiem valsts un ārvalstu finanšu atbalsta instrumentiem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w:t>
      </w:r>
      <w:r w:rsidR="00000000" w:rsidRPr="00000000" w:rsidDel="00000000">
        <w:rPr>
          <w:rtl w:val="0"/>
        </w:rPr>
        <w:t xml:space="preserve">Nr. 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panta prasībām. Par šo saistību ievērošanu finansējuma saņēmējs un sadarbības partneri paraksta attiecīgu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vismaz trīs vispārīgas un vismaz trīs specifiskas darbības, kā arī nodrošina datu uzkrāšanu un ziņošanu par vismaz vienu rādītāju, kas veicina horizontālā principa "Vienlīdzība, iekļaušana, nediskriminācija un pamattiesību ievērošana"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informāciju par šo noteikumu </w:t>
      </w:r>
      <w:r w:rsidR="00000000" w:rsidRPr="00000000" w:rsidDel="00000000">
        <w:rPr>
          <w:rtl w:val="0"/>
        </w:rPr>
        <w:t xml:space="preserve">6.</w:t>
      </w:r>
      <w:r w:rsidR="00000000" w:rsidRPr="00000000" w:rsidDel="00000000">
        <w:rPr>
          <w:rtl w:val="0"/>
        </w:rPr>
        <w:t xml:space="preserve"> punktā minēto specifisko projekta līmeņa iznākuma rādītāju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projektu īsteno saskaņā ar līgumu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Lai nodrošinātu projekta mērķa sasniegšanu, finansējuma saņēmējs izveido projekta uzraudzības padomi. Projekta uzraudzības padome ir atbildīga par projekta rezultātiem, uzrauga projekta aktivitāšu īstenošanu un projekta rezultātu atbilstību galalietotāju un sadarbības partneru vajadzībām, kā arī apstiprina ārējo faktoru ietekmē radušos izmaiņu nepieciešamību projektā. Projekta uzraudzības padomes sastāvā var tikt iesaistītas finansējuma saņēmēja atbildīgās amatpersonas, projekta īstenošanā iesaistīto iestāžu pārstāvji, projekta sadarbības partneru pārstāvji, atbildīgās iestādes pārstāvji, nevalstisko organizāciju pārstāvji, kā arī citi eksperti atbilstoši nepieciešamībai.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uzraudzības padomes nolikumu (padomes tiesības, pienākumus un personālsastāvu, pamatojoties uz iestāžu un organizāciju pilnvarojumiem) apstiprina Valsts kancelejas direktors.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23-TA-1129</w:t>
    </w:r>
    <w:r>
      <w:br/>
    </w:r>
    <w:r w:rsidR="00000000" w:rsidRPr="00000000" w:rsidDel="00000000">
      <w:rPr>
        <w:rtl w:val="0"/>
      </w:rPr>
      <w:t xml:space="preserve">Izdrukāts 29.07.2026. 23.57 - 1.0.VK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23-TA-1129</w:t>
    </w:r>
    <w:r>
      <w:br/>
    </w:r>
    <w:r w:rsidR="00000000" w:rsidRPr="00000000" w:rsidDel="00000000">
      <w:rPr>
        <w:rtl w:val="0"/>
      </w:rPr>
      <w:t xml:space="preserve">Izdrukāts 29.07.2026. 23.57 - 1.0.VK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noteikumu_projekts_23-TA-1129.docx</dc:title>
</cp:coreProperties>
</file>

<file path=docProps/custom.xml><?xml version="1.0" encoding="utf-8"?>
<Properties xmlns="http://schemas.openxmlformats.org/officeDocument/2006/custom-properties" xmlns:vt="http://schemas.openxmlformats.org/officeDocument/2006/docPropsVTypes"/>
</file>