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pirmās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(turpmāk – pasākums) projektu iesniegumu atlases pirmo kārtu (turpmāk – atlases pirmā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atlases pirmās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atlases pirmās kārtas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Taisnīgas pārkārtošanās fonda projekta (turpmāk – projekts) iesniedzējam (turpmāk – projekta iesniedzējs), finansējuma saņēmējam un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atlases pirmās kārtas mērķi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veicināt vēsturisko kūdras ieguves vietu sanāciju, iegūstot un analizējot datus par vēsturiskajām kūdras ieguves vietām Taisnīgas pārkārtošanās fonda mērķteritorijās, to stāvokli un iespējamajiem revitalizācijas veidiem;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iegūt un apkopot informāciju par kūdras izmantošanu enerģētikā pašvaldību organizētajos siltumapgādes pakalpojumos un iespējamos risinājumus cita atjaunīgā enerģijas resursa izmantošanai;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potenciālos projektu iesniegumu iesniedzējus, pašvaldības un privātpersonas ar kvalitatīvu informāciju projektu dokumentācijas sagatavošanai Taisnīgas pārkārtošanās fonda investīciju piesaistei.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mērķteritorijas un īstenošanas vietas ir vēsturiskās kūdras ieguves vietas un pašvaldības, kas atrodas Kurzemes, Latgales, Vidzemes un Zemgales statistiskajos reģionos saskaņā ar 2022. gada 25. novembrī spēkā esošo Statistiski teritoriālo vienību nomenklatūras 3. līmeņa (NUTS 3. līmenis) klasifikāciju.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par vēsturiskajām kūdras ieguves vietām tiek uzskatītas teritorijas, kas noteiktas Kūdras ilgtspējīgas izmantošanas pamatnostādņu 2020.–2030. gadam 3. pielikumā, un šīm teritorijām piegulošas ietekmētās teritorijas.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mērķa grupa ir plānošanas reģioni, pašvaldības, valsts institūcijas, zinātniskas institūcijas un vēsturisko kūdras ieguves vietu īpašnieki vai apsaimniekotāji (pašvaldības un privātpersonas), kā arī pašvaldības, pašvaldību kapitālsabiedrības vai sabiedrisko pakalpojumu sniedzēji, kuriem ir noslēgts līgums ar pašvaldībām par siltumenerģijas nodrošināšanu.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pirmo kārtu īsteno līdz 2027. gada 1. septembrim, sasniedzot nacionālo rādītāju – pašvaldību un privātpersonu īpašumā esošo vēsturisko kūdras ieguves vietu izpēte un inventarizācija veikta teritorijās, kuru kopējā platība sasniedz vismaz 9000 ha. Privātpersona šo noteikumu izpratnē atbilst zemes īpašnieka apzīmējumam "fiziska/juridiska persona", kas tiek izmantots Kūdras ilgtspējīgas izmantošanas pamatnostādņu 2020.–2030. gadam 3. pielikumā "Vēsturiskās kūdras ieguves vietas".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Pasākuma pirmajā kārtā līdz 2027. gada 30. jūnijam sasniedzams nacionālais rādītājs – aplēstās siltumnīcefekta gāzu emisijas. Nacionālā rādītāja vērtība tiek sasniegta atbilstoši šo noteikumu </w:t>
      </w:r>
      <w:r w:rsidR="00000000" w:rsidRPr="00000000" w:rsidDel="00000000">
        <w:rPr>
          <w:rtl w:val="0"/>
        </w:rPr>
        <w:t xml:space="preserve">31.9.5.</w:t>
      </w:r>
      <w:r w:rsidR="00000000" w:rsidRPr="00000000" w:rsidDel="00000000">
        <w:rPr>
          <w:rtl w:val="0"/>
        </w:rPr>
        <w:t xml:space="preserve"> apakšpunktā minētajā nodevumā aprēķinātajam siltumnīcefekta gāzu emisiju samazinājumam un ietaupījumam, kas izteikts oglekļa dioksīda ekvivalenta tonnās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punktā minētā nacionālā rādītāja sasniegtā vērtība pēc projekta pabeigšanas tiek iekļauta pasākuma rezultāta rādītāja – aplēstās siltumnīcefekta gāzu emisijas – kopējā vērtībā.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pirmo kārtu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pirmās kārtas īstenošanai plānotais un pieejamais kopējais attiecināmais finansējums ir vismaz 1 130 743 </w:t>
      </w:r>
      <w:r w:rsidR="00000000" w:rsidRPr="00000000" w:rsidDel="00000000">
        <w:rPr>
          <w:i w:val="1"/>
          <w:rtl w:val="0"/>
        </w:rPr>
        <w:t xml:space="preserve">euro,</w:t>
      </w:r>
      <w:r w:rsidR="00000000" w:rsidRPr="00000000" w:rsidDel="00000000">
        <w:rPr>
          <w:rtl w:val="0"/>
        </w:rPr>
        <w:t xml:space="preserve"> tai skaitā Taisnīgas pārkārtošanās fonda finansējums – 961 131 </w:t>
      </w:r>
      <w:r w:rsidR="00000000" w:rsidRPr="00000000" w:rsidDel="00000000">
        <w:rPr>
          <w:i w:val="1"/>
          <w:rtl w:val="0"/>
        </w:rPr>
        <w:t xml:space="preserve">euro</w:t>
      </w:r>
      <w:r w:rsidR="00000000" w:rsidRPr="00000000" w:rsidDel="00000000">
        <w:rPr>
          <w:rtl w:val="0"/>
        </w:rPr>
        <w:t xml:space="preserve"> un nacionālais līdzfinansējums, ko veido valsts budžeta līdzfinansējums, – 169 612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Maksimālā Taisnīgas pārkārtošanās fonda finansējuma intensitāte ir 85 % no projektam plānotā kopējā attiecināmā finansējuma, un valsts budžeta līdzfinansējums ir 15 % no projektam plānotā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Pasākumā atbalsts tiek sniegts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atbildīgās iestādes funkcijas pilda Viedās administrācijas un reģionālās attīstības ministrija (turpmāk – atbildīgā iestāde).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pasākuma pirmās kārtas ietvaros, kas pēc projekta iesnieguma apstiprināšanas kļūst par finansējuma saņēmēju, ir atvasināta publiska persona – Vidzemes plānošanas reģions.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Finansējuma saņēmējs projekta atbalstāmo darbību īstenošanai sadarbības partnera statusā piesaista atvasinātas publiskās personas – Latgales plānošanas reģionu, Kurzemes plānošanas reģionu un Zemgales plānošanas reģionu.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kopā ar sadarbības partneriem plāno projektā sasniedzamo nacionālo rādītāju un Taisnīgas pārkārtošanās fonda finansējumu atbilstoši šo noteikumu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minētajiem rādītājiem un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minētajam pieejamam finansējumam.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pirms projekta iesnieguma iesniegšanas ar sadarbības partneriem slēdz rakstveida sadarbības līgumu par pušu pienākumiem un tiesībām, kā arī par pušu atbildību projekta mērķa, rezultātu un rādītāju sasniegšanā un šo noteikumu </w:t>
      </w:r>
      <w:r w:rsidR="00000000" w:rsidRPr="00000000" w:rsidDel="00000000">
        <w:rPr>
          <w:rtl w:val="0"/>
        </w:rPr>
        <w:t xml:space="preserve">31.</w:t>
      </w:r>
      <w:r w:rsidR="00000000" w:rsidRPr="00000000" w:rsidDel="00000000">
        <w:rPr>
          <w:rtl w:val="0"/>
        </w:rPr>
        <w:t xml:space="preserve"> punktā</w:t>
      </w:r>
      <w:r w:rsidR="00000000" w:rsidRPr="00000000" w:rsidDel="00000000">
        <w:rPr>
          <w:rtl w:val="0"/>
        </w:rPr>
        <w:t xml:space="preserve"> minēto prasību nodrošināšanā.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un sadarbības partneri: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atbildīgi par projekta mērķa, rezultātu un rādītāju sasniegšanu tādā apjomā, kā noteikts sadarbības līgumā;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iesaistās projekta īstenošanā ar saviem resursiem, tai skaitā finansējumu.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pirmajā kārtā netiek atbalstītas projekta iesniedzēja un sadarbības partneru aktivitātes, kas ir kvalificējamas kā komercdarbības atbalsts.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iesniedzējs iesniedz vienu projekta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iesniedzējs kopā ar sadarbības partneriem saskaņā ar projektu iesniegumu atlases nolikuma prasībām elektroniski sagatavo projekta iesniegumu un iesniedz sadarbības iestādē, izmantojot Kohēzijas politikas fondu vadības informācijas sistēmu.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pirmās kārtas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darbības vides un informācijas piekļūstamības veicināšanai;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komunikācijas un vizuālās identitātes prasību nodrošināšanas pasākumi projekta īstenošanai, tai skaitā informēšanas, izglītošanas un sadarbības veicināšanas pasākumi: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īstenošanas personāla apmācības;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informēšanas, izglītošanas, komunikācijas un vizuālās identitātes pasākumi, tai skaitā informatīvo un izglītojošo materiālu sagatavošana par vēsturisko kūdras ieguves vietu revitalizāciju;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pieredzes apmaiņas braucieni, kas saistīti ar vēsturisko kūdras purvu revitalizāciju, to organizēšana un īstenošana;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derīgo izrakteņu ieguves vietu revitalizāciju saistīto telpiskās plānošanas institūciju, pašvaldību darbinieku un zinātnisko institūciju, kā arī ar kūdras ieguves vietu revitalizāciju saistīto biedrību informēšanas, sadarbības veicināšanas un izglītošanas pasākumi;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pasākumi par atteikšanos no kūdras sadedzināšanas iekārtu izmantošanas enerģētikā;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pašvaldību un siltumapgādes sabiedrisko pakalpojumu sniedzēju konsultēšana par pasākuma otrās projektu iesniegumu atlases kārtas projektu dokumentācijas (dokumentācija par esošās kūdras sadedzināšanas iekārtas radītajām siltumnīcefekta gāzu emisijām, dokumentācija ar aprēķiniem par alternatīvās sadedzināšanas iekārtas radītajām siltumnīcefekta gāzu emisijām un sociālekonomiskie kritēriji) izstrādi;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inventarizācijas veikšana saistībā ar kūdras izmantošanu enerģētikā, apzinot kūdras siltumenerģijas ieguves iekārtas pašvaldībās, tai skaitā pašvaldību organizētajos siltumapgādes pakalpojumos, un to pielāgošanas izmaksu noteikšana citu atjaunīgo energoresursu izmantošanai vai iekārtu nomaiņai;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vēsturisko kūdras ieguves vietu inventarizācija, iegūto datu analīze un apkopošana un nodevuma izstrāde par siltumnīcefekta gāzu emisiju samazinājumu un ietaupījumu dabiski vai mērķtiecīgi atjaunotajās teritorijās, iesaistot atbilstošas kvalifikācijas speciālistus un veicot šādus uzdevumus: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iegūt un izpētīt informāciju par pašvaldību un privātpersonu īpašumā esošajām vēsturiskajām kūdras ieguves vietām, tai skaitā apzināt kamerāli vēsturiskās kūdras ieguves vietas un apsekot tās dabā, apkopot un izvērtēt datus par ekosistēmu stāvokli (tai skaitā identificēt teritorijas, kurās ir notikuši dabiski atjaunošanās procesi vai kuras ir mērķtiecīgi revitalizētas pirms pasākuma pirmās kārtas atlases īstenošanas), kā arī veikt ikgadējā siltumnīcefekta gāzu emisiju samazinājuma un ietaupījuma aprēķinus, piesaistot atbilstošu ekspertīzi;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izstrādāt pašvaldību un privātpersonu īpašumā esošo vēsturisko kūdras ieguves vietu revitalizācijas stratēģijas un noteikt piemērotākās metodes, nodrošinot kompetentu un kvalitatīvu ekspertīzi mērķa sasniegšanai teritorijām, kurās tiks īstenoti revitalizācijas darbi pasākuma nākamajās projektu iesniegumu atlases kārtās;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informēt vēsturisko kūdras ieguves vietu īpašniekus, valdītājus un turētājus par revitalizācijas iespējām un izstrādāt revitalizācijas stratēģijas ieinteresētajiem īpašniekiem un zemes apsaimniekotājiem, piesaistot atbilstošu ekspertīzi, kā arī izstrādāt projektu dokumentāciju nākamajām pasākuma kārtām;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vadlīniju un nodevumu sagatavošana vēsturisko kūdras ieguves vietu revitalizācijas veicināšanai, kūdras siltumenerģijas ražošanas iekārtu nomaiņai un projektu iesniegumu pamatojošās dokumentācijas sagatavošanai.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22.04.2025. noteikumiem Nr. 251)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Projektā neiekļauj darbības, kas nav vērstas uz šo noteikumu </w:t>
      </w:r>
      <w:r w:rsidR="00000000" w:rsidRPr="00000000" w:rsidDel="00000000">
        <w:rPr>
          <w:rtl w:val="0"/>
        </w:rPr>
        <w:t xml:space="preserve">2.</w:t>
      </w:r>
      <w:r w:rsidR="00000000" w:rsidRPr="00000000" w:rsidDel="00000000">
        <w:rPr>
          <w:rtl w:val="0"/>
        </w:rPr>
        <w:t xml:space="preserve"> punktā</w:t>
      </w:r>
      <w:r w:rsidR="00000000" w:rsidRPr="00000000" w:rsidDel="00000000">
        <w:rPr>
          <w:rtl w:val="0"/>
        </w:rPr>
        <w:t xml:space="preserve"> noteiktā mērķa sasniegšanu.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Pasākuma pirmās kārtas ietvaros projektam plāno tiešās un netiešās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ir tieši saistītas ar projekta īstenošanu un nepieciešamas projekta rezultātu sasniegšanai,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nav tieši saistītas ar projekta rezultātu sasniegšanu, bet atbalsta un nodrošina atbilstošus apstākļus projekta īstenošanai un projekta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Tiešās attiecināmās izmaksas ietver šādas izmaksu pozīcijas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projekta vadības un īstenošanas personāla izmaksas (izņemot projekta iesnieguma veidlapas aizpildīšanas izmaksas un virsstundas);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preču un pakalpojumu līgumu izmaksas šo noteikumu </w:t>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20.3.</w:t>
      </w:r>
      <w:r w:rsidR="00000000" w:rsidRPr="00000000" w:rsidDel="00000000">
        <w:rPr>
          <w:rtl w:val="0"/>
        </w:rPr>
        <w:t xml:space="preserve">, </w:t>
      </w:r>
      <w:r w:rsidR="00000000" w:rsidRPr="00000000" w:rsidDel="00000000">
        <w:rPr>
          <w:rtl w:val="0"/>
        </w:rPr>
        <w:t xml:space="preserve">20.5.</w:t>
      </w:r>
      <w:r w:rsidR="00000000" w:rsidRPr="00000000" w:rsidDel="00000000">
        <w:rPr>
          <w:rtl w:val="0"/>
        </w:rPr>
        <w:t xml:space="preserve"> un </w:t>
      </w:r>
      <w:r w:rsidR="00000000" w:rsidRPr="00000000" w:rsidDel="00000000">
        <w:rPr>
          <w:rtl w:val="0"/>
        </w:rPr>
        <w:t xml:space="preserve">20.6.</w:t>
      </w:r>
      <w:r w:rsidR="00000000" w:rsidRPr="00000000" w:rsidDel="00000000">
        <w:rPr>
          <w:rtl w:val="0"/>
        </w:rPr>
        <w:t xml:space="preserve"> apakšpunkt</w:t>
      </w:r>
      <w:r w:rsidR="00000000" w:rsidRPr="00000000" w:rsidDel="00000000">
        <w:rPr>
          <w:rtl w:val="0"/>
        </w:rPr>
        <w:t xml:space="preserve">ā minētajām atbalstāmajām darbībām (ja attiecināms), tai skaitā izmaksas vēsturiskajās kūdras ieguves vietās veikto pētījumu rezultātā iegūto datu iegādei, ja tie nav brīvi pieejami vai nav pieejami izmantošanai pēc pieprasījuma reģionu attīstības plānošanā, izņemot šo noteikumu  </w:t>
      </w:r>
      <w:r w:rsidR="00000000" w:rsidRPr="00000000" w:rsidDel="00000000">
        <w:rPr>
          <w:rtl w:val="0"/>
        </w:rPr>
        <w:t xml:space="preserve">23.1.</w:t>
      </w:r>
      <w:r w:rsidR="00000000" w:rsidRPr="00000000" w:rsidDel="00000000">
        <w:rPr>
          <w:rtl w:val="0"/>
        </w:rPr>
        <w:t xml:space="preserve"> apakšpunktā</w:t>
      </w:r>
      <w:r w:rsidR="00000000" w:rsidRPr="00000000" w:rsidDel="00000000">
        <w:rPr>
          <w:rtl w:val="0"/>
        </w:rPr>
        <w:t xml:space="preserve"> noteiktās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ekspertu konsultāciju un izvērtējumu izmaksas projekta sekmīgai realizācijai un mērķa sasniegšanai, kas nav radušās uz darba līguma pamata;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mācību, semināru, pieredzes apmaiņas un citu kapacitāti uzlabojošu pasākumu organizēšanu un īstenošanu saistītās izmaksas,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lektoru, ekspertu, konsultantu, moderatoru pakalpojumi (ieskaitot honorārus, viesnīcas un ceļa izdevumus);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telpu īres maksa (ja projekta aktivitāšu īstenošanai nepieciešams īrēt telpas ārpus finansējuma saņēmēja un sadarbības partnera juridiskās un faktiskās uzturēšanās adreses);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ēdināšanas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tulkošanas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informatīvo materiālu izveide par Taisnīgas pārkārtošanās fonda darbībām reģionos, par vēsturiskajām kūdras ieguves vietām un to revitalizācijas iespējām, piemēram, informācijas izvietošana tīmekļvietnē, plakātu un izdales materiālu izveide;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ārvalstu komandējumu izmaksas finansējuma saņēmēja un sadarbības partneru projekta vadītājiem un īstenošanas personālam atbilstoši normatīvajiem aktiem par kārtību, kādā atlīdzināmi ar komandējumu saistītie izdevumi, ja tās ir pamatotas un saistītas ar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finansējuma saņēmēja un sadarbības partneru personāla darba braucienu un iekšzemes komandējumu un transporta pakalpojumu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transporta izmaksas (maksa par degvielu, transportlīdzekļu noma, transporta pakalpojumu pirkšana, maksa par sabiedriskā transporta izmantošanu), kas ir daļa no iekšzemes komandējumu vai darba braucienu izmaksām. Degvielas izmaksas vieglajam transportlīdzeklim un reģionālā sabiedriskā un vietējā sabiedriskā transporta izmaksas tiek segtas atbilstoši Finanšu ministrijas izstrādātajai metodikai "Vienas vienības izmaksu standarta likmes aprēķina un piemērošanas metodika 1 km izmaksām darbības programmas "Izaugsme un nodarbinātība" un Eiropas Savienības kohēzijas politikas programmas 2021.–2027. gadam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un sadarbības partneru personāla darba braucienu un iekšzemes komandējumu izmaksas (viesnīcas izmaksas, dienas nauda), kuras tiek segtas atbilstoši Finanšu ministrijas izstrādātajai metodikai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darba vietas aprīkojuma iegādes izmaksas jaunu darba vietu radīšanai vai, ja esošo darba vietu aprīkojums ir nolietojies un tiek norakstīts, uzturēšanai un remontam ne vairāk kā 3000 </w:t>
      </w:r>
      <w:r w:rsidR="00000000" w:rsidRPr="00000000" w:rsidDel="00000000">
        <w:rPr>
          <w:i w:val="1"/>
          <w:rtl w:val="0"/>
        </w:rPr>
        <w:t xml:space="preserve">euro</w:t>
      </w:r>
      <w:r w:rsidR="00000000" w:rsidRPr="00000000" w:rsidDel="00000000">
        <w:rPr>
          <w:rtl w:val="0"/>
        </w:rPr>
        <w:t xml:space="preserve"> apmērā vienai darba vietai visā projekta īstenošanas laikā personālam, kas projektā ir nodarbināts vismaz 30 procentus darba laika, ievērojot šādus nosacījumus: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projekta vadības vai īstenošanas personāls ir nodarbināts projektā normālu darba laiku, jaunradītas darba vietas aprīkojuma iegādes vai nomas izmaksas ir attiecināmas 100 procentu apmērā;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projekta vadības vai īstenošanas personāls ir nodarbināts projektā nepilnu darba laiku, jaunradītas darba vietas aprīkojuma iegādes vai nomas izmaksas ir attiecināmas proporcionāli darba slodzes procentuālajam sadalījumam;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daļlaika izmaksu attiecināšanas principa gadījumā tiek ņemts vērā darbinieka iesaistes periods projektā pret projekta kopējo īstenošanas ilgumu, kā arī proporcionāli darba slodzes procentuālajam sadalījumam;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ar projekta darbībām tieši saistīto komunikācijas un vizuālās identitātes prasību nodrošināšanas pasākumi, nepārsniedzot vienu procentu no projekta kopējām tiešajām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izmaksas horizontālā principa "Vienlīdzība, iekļaušana, nediskriminācija un pamattiesību ievērošana" darbību īstenošanai, tai skaitā zīmju valodas tulku, vieglās valodas tulkošanas, reāllaika transkripcijas, subtitru nodrošināšanas pakalpojumu izmaksas un vides piekļūstamības ekspertu konsultāciju izmaksas, ja konsultācijas ir nepieciešamas vides un informācijas piekļūstamības nodrošināšanai.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netiešās attiecināmās izmaksas atbalstāmo darbību īstenošanai plāno kā vienu izmaksu pozīciju, piemērojot netiešo izmaksu vienoto likmi septiņu procentu apmērā no šo noteikumu </w:t>
      </w:r>
      <w:r w:rsidR="00000000" w:rsidRPr="00000000" w:rsidDel="00000000">
        <w:rPr>
          <w:rtl w:val="0"/>
        </w:rPr>
        <w:t xml:space="preserve">23.</w:t>
      </w:r>
      <w:r w:rsidR="00000000" w:rsidRPr="00000000" w:rsidDel="00000000">
        <w:rPr>
          <w:rtl w:val="0"/>
        </w:rPr>
        <w:t xml:space="preserve">punktā</w:t>
      </w:r>
      <w:r w:rsidR="00000000" w:rsidRPr="00000000" w:rsidDel="00000000">
        <w:rPr>
          <w:rtl w:val="0"/>
        </w:rPr>
        <w:t xml:space="preserve"> minētajām tiešajām attiecināmajām izmaksām. Sadarbības partneriem netiešo attiecināmo izmaksu sadalījums starp projekta iesniedzēju un sadarbības partneri tiek noteikts sadarbības līgumā.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Neparedzētie izdevumi nepārsniedz piecus procentus no projekta kopējām tiešajām attiecināmajām izmaksām. Neparedzēto izdevumu izlietošanu finansējuma saņēmējs saskaņo ar sadarbības iestādi, kā to nosaka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uzskatāmi par attiecināmām izmaksām saskaņā ar regulas  </w:t>
      </w:r>
      <w:r w:rsidR="00000000" w:rsidRPr="00000000" w:rsidDel="00000000">
        <w:rPr>
          <w:rtl w:val="0"/>
        </w:rPr>
        <w:t xml:space="preserve">2021/1060</w:t>
      </w:r>
      <w:r w:rsidR="00000000" w:rsidRPr="00000000" w:rsidDel="00000000">
        <w:rPr>
          <w:rtl w:val="0"/>
        </w:rPr>
        <w:t xml:space="preserve"> 64. panta 1. punkta "c" apakšpunktā ietvertajiem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izmaksas ir attiecināmas no 2024. gada 1. janvāra. Projekta iesniegumā neiekļauj un finansējumu nepiešķir pabeigtām darbībām.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un projekta īstenošanas un uzraudzības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saņēmējs projektu īsteno saskaņā ar vienošanos par projekta īstenošanu, bet ne ilgāk kā līdz 2027. gada 1. septembrim.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ietvaros iepirkumus veic saskaņā ar publiskos iepirkumus regulējošo normatīvo aktu prasībām, īstenojot atklātu, pārredzamu, nediskriminējošu un konkurenci neierobežojošu procedūru.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attiecināms, projekta ietvaros, veicot iepirkumus, nodrošina vides prasību integrāciju preču un pakalpojumu iepirkumos, kā arī publiskos iepirkumus īsteno sociāli atbildīgā veidā, piemērojot sociāli atbildīgā publiskā iepirkuma un inovatīvā publiskā iepirkuma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Īstenojot projektu, finansējuma saņēmējs un sadarbības partneri: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komunikācijas un vizuālās identitātes prasību nodrošināšanas pasākumus saskaņā ar regulas  </w:t>
      </w:r>
      <w:r w:rsidR="00000000" w:rsidRPr="00000000" w:rsidDel="00000000">
        <w:rPr>
          <w:rtl w:val="0"/>
        </w:rPr>
        <w:t xml:space="preserve">2021/1060</w:t>
      </w:r>
      <w:r w:rsidR="00000000" w:rsidRPr="00000000" w:rsidDel="00000000">
        <w:rPr>
          <w:rtl w:val="0"/>
        </w:rPr>
        <w:t xml:space="preserve"> 47. un 50. pantu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savā tīmekļvietnē ne retāk kā reizi sešos mēnešos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novērš dubultā finansējuma iestāšanos, tostarp nodrošina, ka projektā plānotie darbi netiek finansēti vai līdzfinansēti, kā arī tos nav plānots finansēt vai līdzfinansēt no citiem valsts vai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atsevišķu grāmatvedības uzskaiti par finansējuma izlietojumu projektā, nodalot tā ietvaros veiktās darbības no citas saimnieciskās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izstrādā nosacījumus, kā arī pārliecinās par interešu konflikta, krāpšanas un korupcijas risku neesību, tai skaitā identificē apstākļus, kas izraisa vai var izraisīt interešu konfliktu un krāpšanas un korupcijas riskus, kas rada apdraudējumu vai kaitējumu projekta īstenošanā, nosaka veicamos pasākumus un izstrādā darbības plānu interešu konflikta preventīvai novēršanai un gadījumiem, kad interešu konflikts ir atklāts, kā arī paraksta apliecinājumu par interešu konflikta neesību;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darbību īstenošanai piesaista kompetentus ekspertus vēsturisko kūdras ieguves vietu stāvokļa novērtēšanai un revitalizācijas stratēģiju izstrādei, ņemot vērā piemērotākās metodes siltumnīcefekta gāzu emisiju samazināšanai, vides kvalitātes uzlabošanai un sociālekonomisko ieguvumu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punktā minēto rādītāju uzskaiti projekta īstenošanas laikā un faktiski sasniegtās vērtības datu ievadi Kohēzijas politikas fondu vadības informācijas sistēmā;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līdz 2025. gada 16. jūnijam izstrādā un atbildīgajai iestādei iesniedz šādus metodiskos materiālus: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31.8.1.</w:t>
      </w:r>
      <w:r w:rsidR="00000000" w:rsidRPr="00000000" w:rsidDel="00000000">
        <w:rPr>
          <w:i w:val="1"/>
          <w:rtl w:val="0"/>
        </w:rPr>
        <w:t xml:space="preserve"> (Svītrots)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vadlīnijas par horizontālā principa "nenodarīt būtisku kaitējumu" klimata un vides mērķu novērtējumu pasākumā īstenojamām darbībām vēsturiskajās kūdras ieguves vietās;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vadlīnijas par sociālekonomisko novērtējumu katram no vēsturisko kūdras ieguves vietu revitalizācijas veidiem;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vadlīnijas par ekosistēmu pakalpojumu novērtējumu katram no vēsturisko kūdras ieguves vietu revitalizācijas veidiem;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līdz 2026. gada 31. decembrim izstrādā un atbildīgajai iestādei iesniedz vadlīnijas pašvaldībām par procedūru vēsturisko kūdras ieguves vietu atzīšanai par revitalizētām;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sagatavo un iesniedz atbildīgajai iestādei šādus nodevumus: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1. decembrim – nodevumu par pašvaldībām un to uzņēmumu īpašumā esošo kūdras sadedzināšanas iekārtu inventarizācijas rezultātiem un to sociālekonomisko novērtējumu;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2025. gada 11. novembrim – nodevumu par pašvaldību īpašumā esošo vēsturisko kūdras ieguves vietu inventarizācijas rezultātiem, iekļaujot šo noteikumu </w:t>
      </w:r>
      <w:r w:rsidR="00000000" w:rsidRPr="00000000" w:rsidDel="00000000">
        <w:rPr>
          <w:rtl w:val="0"/>
        </w:rPr>
        <w:t xml:space="preserve">20.5.1.</w:t>
      </w:r>
      <w:r w:rsidR="00000000" w:rsidRPr="00000000" w:rsidDel="00000000">
        <w:rPr>
          <w:rtl w:val="0"/>
        </w:rPr>
        <w:t xml:space="preserve"> apakšpunktā</w:t>
      </w:r>
      <w:r w:rsidR="00000000" w:rsidRPr="00000000" w:rsidDel="00000000">
        <w:rPr>
          <w:rtl w:val="0"/>
        </w:rPr>
        <w:t xml:space="preserve"> noteikto informāciju;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2026. gada 1. aprīlim – nodevumu par privātpersonu īpašumā esošo vēsturisko kūdras ieguves vietu inventarizācijas rezultātiem, iekļaujot šo noteikumu </w:t>
      </w:r>
      <w:r w:rsidR="00000000" w:rsidRPr="00000000" w:rsidDel="00000000">
        <w:rPr>
          <w:rtl w:val="0"/>
        </w:rPr>
        <w:t xml:space="preserve">20.5.1.</w:t>
      </w:r>
      <w:r w:rsidR="00000000" w:rsidRPr="00000000" w:rsidDel="00000000">
        <w:rPr>
          <w:rtl w:val="0"/>
        </w:rPr>
        <w:t xml:space="preserve"> apakšpunktā</w:t>
      </w:r>
      <w:r w:rsidR="00000000" w:rsidRPr="00000000" w:rsidDel="00000000">
        <w:rPr>
          <w:rtl w:val="0"/>
        </w:rPr>
        <w:t xml:space="preserve"> noteikto informāciju;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 2027. gada 30. jūnijam – gala nodevumu, kurā iekļauta analīze par visām vēsturiskajām kūdras ieguves vietām pašvaldību un privātpersonu īpašumā, iekļaujot šo noteikumu </w:t>
      </w:r>
      <w:r w:rsidR="00000000" w:rsidRPr="00000000" w:rsidDel="00000000">
        <w:rPr>
          <w:rtl w:val="0"/>
        </w:rPr>
        <w:t xml:space="preserve">20.5.1.</w:t>
      </w:r>
      <w:r w:rsidR="00000000" w:rsidRPr="00000000" w:rsidDel="00000000">
        <w:rPr>
          <w:rtl w:val="0"/>
        </w:rPr>
        <w:t xml:space="preserve"> un </w:t>
      </w:r>
      <w:r w:rsidR="00000000" w:rsidRPr="00000000" w:rsidDel="00000000">
        <w:rPr>
          <w:rtl w:val="0"/>
        </w:rPr>
        <w:t xml:space="preserve">20.5.2.</w:t>
      </w:r>
      <w:r w:rsidR="00000000" w:rsidRPr="00000000" w:rsidDel="00000000">
        <w:rPr>
          <w:rtl w:val="0"/>
        </w:rPr>
        <w:t xml:space="preserve"> apakšpunktā noteikto informāciju un norādot kopējo analizēto teritoriju platību hektāros;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līdz 2027. gada 30. jūnijam – nodevumu par pašvaldību un privātpersonu īpašumā esošajās vēsturiskajās kūdras ieguves vietās aprēķināto siltumnīcefekta gāzu emisiju samazinājumu un ietaupījumu gadā, kas radies teritorijās, kuras dabisku vai mērķtiecīgu atjaunošanās procesu rezultātā ir uzskatāmas par revitalizētām;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precizē šo noteikumu </w:t>
      </w:r>
      <w:r w:rsidR="00000000" w:rsidRPr="00000000" w:rsidDel="00000000">
        <w:rPr>
          <w:rtl w:val="0"/>
        </w:rPr>
        <w:t xml:space="preserve">31.8.</w:t>
      </w:r>
      <w:r w:rsidR="00000000" w:rsidRPr="00000000" w:rsidDel="00000000">
        <w:rPr>
          <w:rtl w:val="0"/>
        </w:rPr>
        <w:t xml:space="preserve"> apakšpunktā</w:t>
      </w:r>
      <w:r w:rsidR="00000000" w:rsidRPr="00000000" w:rsidDel="00000000">
        <w:rPr>
          <w:rtl w:val="0"/>
        </w:rPr>
        <w:t xml:space="preserve">  minētos metodiskos materiālus, iepriekš vienojoties ar atbildīgo iestādi par izpildes termiņu, ja, sagatavojot šo noteikumu </w:t>
      </w:r>
      <w:r w:rsidR="00000000" w:rsidRPr="00000000" w:rsidDel="00000000">
        <w:rPr>
          <w:rtl w:val="0"/>
        </w:rPr>
        <w:t xml:space="preserve">31.9.1.</w:t>
      </w:r>
      <w:r w:rsidR="00000000" w:rsidRPr="00000000" w:rsidDel="00000000">
        <w:rPr>
          <w:rtl w:val="0"/>
        </w:rPr>
        <w:t xml:space="preserve">, </w:t>
      </w:r>
      <w:r w:rsidR="00000000" w:rsidRPr="00000000" w:rsidDel="00000000">
        <w:rPr>
          <w:rtl w:val="0"/>
        </w:rPr>
        <w:t xml:space="preserve">31.9.2.</w:t>
      </w:r>
      <w:r w:rsidR="00000000" w:rsidRPr="00000000" w:rsidDel="00000000">
        <w:rPr>
          <w:rtl w:val="0"/>
        </w:rPr>
        <w:t xml:space="preserve"> un </w:t>
      </w:r>
      <w:r w:rsidR="00000000" w:rsidRPr="00000000" w:rsidDel="00000000">
        <w:rPr>
          <w:rtl w:val="0"/>
        </w:rPr>
        <w:t xml:space="preserve">31.9.3.</w:t>
      </w:r>
      <w:r w:rsidR="00000000" w:rsidRPr="00000000" w:rsidDel="00000000">
        <w:rPr>
          <w:rtl w:val="0"/>
        </w:rPr>
        <w:t xml:space="preserve"> apakšpunktā minētos nodevumus, tiek iegūta tāda informācija, kuras dēļ šos metodiskos materiālus nepieciešams precizēt, un iesniedz tos atbildīgajai iestādei ne vēlāk kā līdz 2026. gada 31. jūlijam;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horizontālā principa "Vienlīdzība, iekļaušana, nediskriminācija un pamattiesību ievērošana" rādītāja – mediju kampaņu, semināru, konferenču un komunikācijas pasākumu skaits, kuros sabiedrības informēšana cilvēkiem ar dažādu veidu funkcionāliem traucējumiem tika nodrošināta piekļūstamos veidos (piemēram, tulkošana zīmju valodā, subtitrēšana, reāllaika transkripcija, raidījumu un pasākumu ieraksti), – sasniegto vērtību datu uzkrāšanu, ievadi Kohēzijas politikas fondu vadības informācijas sistēmā un ziņošanu.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22.04.2025. noteikumiem Nr. 251)</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Atbildīgā iestāde izskata un izvērtē finansējuma saņēmēja un sadarbības partnera iesniegtos metodiskos materiālus un nodevumus viena mēneša laikā no to saņemšanas dienas.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26-TA-1553</w:t>
    </w:r>
    <w:r>
      <w:br/>
    </w:r>
    <w:r w:rsidR="00000000" w:rsidRPr="00000000" w:rsidDel="00000000">
      <w:rPr>
        <w:rtl w:val="0"/>
      </w:rPr>
      <w:t xml:space="preserve">Izdrukāts 04.08.2026. 15.45 - 1.0.VK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26-TA-1553</w:t>
    </w:r>
    <w:r>
      <w:br/>
    </w:r>
    <w:r w:rsidR="00000000" w:rsidRPr="00000000" w:rsidDel="00000000">
      <w:rPr>
        <w:rtl w:val="0"/>
      </w:rPr>
      <w:t xml:space="preserve">Izdrukāts 04.08.2026. 15.45 - 1.0.VK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noteikumu_konsolidētā_versija_26-TA-1553.docx</dc:title>
</cp:coreProperties>
</file>

<file path=docProps/custom.xml><?xml version="1.0" encoding="utf-8"?>
<Properties xmlns="http://schemas.openxmlformats.org/officeDocument/2006/custom-properties" xmlns:vt="http://schemas.openxmlformats.org/officeDocument/2006/docPropsVTypes"/>
</file>