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2.2.2.2. pasākuma "Atkritumu dalītā vākšana" projektu iesniegumu pirmās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2.2.2.2. pasākuma "Atkritumu dalītā vākšana" (turpmāk – pasākums) projektu iesniegumu pirmo atlases kārtu (turpmāk – atlases kārta);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pirmajai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mērķis ir attīstīt atkritumu dalītas vākšanas sistēmu, sagatavošanu atkārtotai izmantošanai, pārstrādei un reģenerācijai.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31. decembrim atlases kārtā sasniedzamie projektu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(mazie, vidējie un lielie). Iznākuma rādītāja vērtība tiek sasniegta, ja atlases kārtas projektu ietvaros veikti ieguldījumi atkritumu dalītas savākšanas sistēmas attīstībā, nodrošinot atbalstu vismaz četriem uzņēmumiem, tai skaitā līdz 2024. gada 31. decembrim – vismaz trim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šķiroti savāktu atkritumu daudzums. Rezultāta rādītāja vērtība tiek sasniegta, ja atlases kārtas projektu ietvaros veikti ieguldījumi atkritumu dalītas savākšanas sistēmas attīstībā, sasniedzot šķiroti savākto atkritumu daudzumu – 4750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2 352 942 </w:t>
      </w:r>
      <w:r w:rsidR="00000000" w:rsidRPr="00000000" w:rsidDel="00000000">
        <w:rPr>
          <w:i w:val="1"/>
          <w:rtl w:val="0"/>
        </w:rPr>
        <w:t xml:space="preserve">euro</w:t>
      </w:r>
      <w:r w:rsidR="00000000" w:rsidRPr="00000000" w:rsidDel="00000000">
        <w:rPr>
          <w:rtl w:val="0"/>
        </w:rPr>
        <w:t xml:space="preserve">, tai skaitā Kohēzijas fonda finansējums – 2 000 000 </w:t>
      </w:r>
      <w:r w:rsidR="00000000" w:rsidRPr="00000000" w:rsidDel="00000000">
        <w:rPr>
          <w:i w:val="1"/>
          <w:rtl w:val="0"/>
        </w:rPr>
        <w:t xml:space="preserve">euro</w:t>
      </w:r>
      <w:r w:rsidR="00000000" w:rsidRPr="00000000" w:rsidDel="00000000">
        <w:rPr>
          <w:rtl w:val="0"/>
        </w:rPr>
        <w:t xml:space="preserve"> un  privātais līdzfinansējums – vismaz 352 942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Neizmantoto Kohēzijas fonda finansējumu pēc  atlases kārtas noslēgšanās novirza projektu iesniegumu atlases otrajai kārtai.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Kohēzijas fonda finansējuma apmērs nepārsniedz 85 procentus no projekta kopējā attiecināmā finansējuma, un privātais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atlases kārtas ietvaros ir atkritumu apsaimniekotājs (komersants), kurš pēc civiltiesiskā līguma par projekta īstenošanu noslēgšanas ir finansējuma saņēmējs un kurš normatīvajos aktos noteiktajā kārtībā ir saņēmis atbilstošu atkritumu apsaimniekošanas atļauju vai atļauju A vai B kategorijas piesārņojošo darbību veikšanai, un kura darbība atbilstoši Saimniecisko darbību statistiskās klasifikācijas Eiropas Kopienā 2. redakcijai atbilst E sadaļas 38. vai 39. nodaļai: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sadzīves atkritumu apsaimniekotājs (komersants), kuram uz projekta īstenošanas laiku ir noslēgts līgums ar pašvaldību par atkritumu apsaimniekošanas pakalpojuma sniegšanu tās teritorijā;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atkritumu apsaimniekošanas komersants, kurš Latvijas Republikas teritorijā nodrošina bīstamo sadzīves atkritumu un videi kaitīgu atkritumu savākšanu normatīvajos aktos noteiktajā kārtībā.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atlases kārtā var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elektroniski sagatavo projekta iesniegumu saskaņā ar projektu iesniegumu atlases nolikuma prasībām, tai skaitā iekļaujot sabiedrības izglītošanas plānu ar ieguldīto privātā finansējuma apjomu, un iesniedz sadarbības iestādē, izmantojot Kohēzijas politikas fondu vadības informācijas sistēmu.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saskaņā ar vides un atkritumu apsaimniekošanas politikas plānošanas dokumentos noteiktajiem uzdevumiem ir atbalstāmas šādas darbības: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dažādu veidu atkritumu dalītās vākšanas jaunu konteineru iegāde atbilstoši atbildīgās iestādes apstiprinātajai un vadošās iestādes saskaņotajai vienas vienības izmaksu likmju aprēķina un piemērošanas metodikai (turpmāk – metodika);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atbilstoši šo noteikumu </w:t>
      </w:r>
      <w:r w:rsidR="00000000" w:rsidRPr="00000000" w:rsidDel="00000000">
        <w:rPr>
          <w:rtl w:val="0"/>
        </w:rPr>
        <w:t xml:space="preserve">24.6. </w:t>
      </w:r>
      <w:r w:rsidR="00000000" w:rsidRPr="00000000" w:rsidDel="00000000">
        <w:rPr>
          <w:rtl w:val="0"/>
        </w:rPr>
        <w:t xml:space="preserve">apakšpunktā</w:t>
      </w:r>
      <w:r w:rsidR="00000000" w:rsidRPr="00000000" w:rsidDel="00000000">
        <w:rPr>
          <w:rtl w:val="0"/>
        </w:rPr>
        <w:t xml:space="preserve"> minētajiem nosacījumiem un vadošās iestādes saskaņotajai metodikai.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atlases pirmās kārtas ietvaros projektiem plāno tiešās attiecināmās izmaksas.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Dažādu veidu specializēto konteineru iegāde šādu atkritumu veidu savākšanai: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izlietotā iepakojuma konteineri (120 litru, 240 litru, 660 litru, 1100 litru tilpuma plastmasas konteineri un 660 litru un 1100 litru tilpuma metāla konteineri);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izlietotā iepakojuma trīs kameru iekštelpu un ārtelpu dalītās vākšanas konteineri (dažāda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tekstila atkritumu konteineri (no 1,9 kubikmetru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bioloģisko atkritumu konteineri (120 litru un 240 litru tilpuma konteineri);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tvertnes dārza atkritumu mājkompostēšanai (no 400 litriem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būvgružu un lielgabarīta atkritumu konteineri (no 1,5 līdz 20 kubikmetru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neizlietoto medikamentu savākšanas tvertnes aptiekām (dažāda tilpuma);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cigarešu izsmēķu savākšanas tvertnes ārpus telpām (pie sienas stiprināmas urnas);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slēdzami jūras tipa konteineri vai analogi pārvietojami moduļi izvietošanai laukumos, kur no iedzīvotājiem pieņem bīstamos sadzīves atkritumus vai videi kaitīgos atkritumus (bez papildaprīkojuma plauktiem vai uzglabāšanas tvertnēm) īslaicīgai atkritumu uzglabāšanai;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ar projektu saistītās attiecināmās izmaksas, kas tiek segtas atbilstoši atbildīgās iestādes apstiprinātajai un vadošās iestādes saskaņotajai metodikai.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nav attiecināmās izmaksas. Pievienotās vērtības nodoklis ir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izmaksas ir attiecināmas no šo noteikumu spēkā stāšanās dienas, bet projekta darbības nedrīkst būt pabeigtas pirms projekta iesnieguma iesniegšanas sadarbības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Projekts tiek īstenots 12 mēnešu laikā no civiltiesiskā līguma par projekta īstenošanu noslēgšanas dienas, bet ne ilgāk kā līdz 2025. gada 31. decembrim.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vai līdzfinansētas no citiem valsts, pašvaldības vai ārvalstu finanšu atbalsta instrumentiem vai citiem publiskiem līdzekļiem, kā arī nodrošina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Finansējumu pasākuma atlases pirmās kārtas ietvaros izmaksā saskaņā ar metodiku, piemērojot vienkāršoto izmaksu iespējas ar vienas vienības izmaksu likmēm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1. punkta "b" apakšpunktam.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pirms atlases kārtas izsludināšanas.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metodiku.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papildu izmaksas, kas pārsniedz metodikā noteiktās vienas vienības likmes, un projekta izmaksu pieaugumu sedz no līdzekļiem, par kuriem nav saņemts nekāds komercdarbības atbalsts;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visi projekta rezultātā iegūtie specializētie atkritumu dalītās vākšanas konteineri tiek atbilstoši sagatavoti tam paredzētajam mērķim (marķēti ar CE un ar RAL kvalitātes zīmi (ja attiecināms), apzīmēti kā iegādāti projekta ietvaros, pielāgoti izmantošanai paredzētajam mērķim, norādot, kādiem atkritumu veidiem konteineri izmantojami);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kā arī saskaņā 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izpilda nepieciešamās prasības, lai nodrošinātu horizontālo principu "Nenodarīt būtisku kaitējumu", "Klimatdrošināšana", "Vienlīdzība, iekļaušana, nediskriminācija un pamattiesību ievērošana", kā arī Eiropas Savienības un Latvijas Republikas normatīvo aktu ievērošanu vides aizsardzības jomā, uzkrāj datus un sniedz informāciju sadarbības iestādei Kohēzijas politikas fondu vadības informācijas sistēmā par projekta ietekmi uz horizontālo principu īstenošanu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projektā plānotās darbības netiek finansētas vai līdzfinansētas no citiem valsts, pašvaldības vai ārvalstu finanšu atbalsta instrumentiem vai citiem publiskiem līdzekļiem, kā arī nodrošina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pēcuzraudzības periodā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iegādātais atkritumu dalītas savākšanas aprīkojums piecus gadus no projekta noslēguma maksājuma veikšanas dienas finansējuma saņēmējam pastāvīgi tiek izmantots projektā noteikto mērķu sasniegšanai un rezultātu ilgtspējas nodrošināšanai, tai skaitā projektā norādītā sasniedzamā dalīti vākto atkritumu daudzuma rādītāja vērtības sasniegšanai;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sadarbības vai atbildīgās iestādes pieprasījuma ir pieejama informācija par to konteineru atrašanās vietu, kuri iegādāti par projekta ietvaros piešķirtajiem Kohēzijas fonda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līdzekļiem, par kuriem nav saņemts nekāds komercdarbības atbalsts,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infografikas, videoklipi, semināri namu apsaimniekotājiem, ziņu lapas, preses relīzes, baneri un citi). Līdzekļu izmantošanu finansējuma saņēmējs apliecina, atskaiti kopā ar izmaksas pamatojošiem dokumentiem ik gadu iesniedzot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pēcuzraudzības periodā beidzas līgums ar pašvaldību par atkritumu apsaimniekošanas pakalpojuma sniegšanu un pakalpojums turpmāk vairs netiks sniegts attiecīgajā pašvaldībā,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ietvaros iegādātie pārvietojamie atkritumu dalītas savākšanas konteineri tiek uzstādīti jaunā pakalpojuma sniegšanas teritorijā projekta vērtēšanas situācijai līdzvērtīgos apstākļos, par ko atkritumu apsaimniekotājam ir noslēgts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iestādei sniedz informāciju par jaunā atkritumu apsaimniekošanas pakalpojuma sniegšanas līguma noslēgšanu un tā darbības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iestādei saskaņā ar civiltiesisko līgumu par projekta īstenošanu ir tiesības projekta īstenošanas un pēcuzraudzības laikā pārbaudīt civiltiesiskajā līgumā par projekta īstenošanu sniegto informāciju, veicot pārbaudi projekta īstenošanas vietā atbilstoši normatīvajiem aktiem, kas nosaka Eiropas Savienības fondu projektu pārbaužu veikšanas kārtību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projektu īsteno un priekšfinansē no līdzekļiem, par kuriem nav saņemts nekāds komercdarbības atbalsts, un sadarbības iestāde, pamatojoties uz civiltiesisko līgumu par projekta īstenošanu, pēc finansējuma saņēmēja iesniegtā projekta noslēguma maksājuma pieprasījuma izvērtēšanas veic finansējuma izmaksu vienā noslēguma maksājumā.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 rādītāju sasniegšanu pamatojošā dokumentācija un sadarbības iestāde to ir apstiprinājusi.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projekta pēcuzraudzības periodā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noteiktie sabiedrības izglītošanas pasākumi nav veikti  vai ir veikti nepilnā apmērā, finansējuma saņēmējam ir pienākums atmaksāt sadarbības iestādei projekta ietvaros saņemto atbalstu tādā apmērā, kādā nav izpildītas saistības pēcuzraudzības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atlases pirmās kārtas ietvaros atbalstu attiecināmo darbību izmaksu segšanai sniedz saskaņā ar Komisijas 2023. gada 13. decembra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komersantam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kas neietilpst regulas Nr. 2023/2831 darbības jomās, atbalstam, ko piešķir minētajām nozarēm vai darbības jomām, šo regulu piemēro ar nosacījumu, lai darbības nozares,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plānotā </w:t>
      </w:r>
      <w:r w:rsidR="00000000" w:rsidRPr="00000000" w:rsidDel="00000000">
        <w:rPr>
          <w:i w:val="1"/>
          <w:rtl w:val="0"/>
        </w:rPr>
        <w:t xml:space="preserve">de minimis</w:t>
      </w:r>
      <w:r w:rsidR="00000000" w:rsidRPr="00000000" w:rsidDel="00000000">
        <w:rPr>
          <w:rtl w:val="0"/>
        </w:rPr>
        <w:t xml:space="preserve"> atbalsta piešķiršanas pārbauda, vai komersantam plānotais </w:t>
      </w:r>
      <w:r w:rsidR="00000000" w:rsidRPr="00000000" w:rsidDel="00000000">
        <w:rPr>
          <w:i w:val="1"/>
          <w:rtl w:val="0"/>
        </w:rPr>
        <w:t xml:space="preserve">de minimis</w:t>
      </w:r>
      <w:r w:rsidR="00000000" w:rsidRPr="00000000" w:rsidDel="00000000">
        <w:rPr>
          <w:rtl w:val="0"/>
        </w:rPr>
        <w:t xml:space="preserve"> atbalsts kopā ar iepriekšējos trijos gados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2023/2831 3. panta 2. punktā noteikto robežlielumu. Viens vienots uzņēmums ir tāds uzņēmums, kas atbilst regulas Nr. 2023/2831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Lēmumu par atbalsta piešķiršanu saskaņā ar regulu Nr. 2023/2831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finansējuma saņēmējs – 10 gadus no atbalsta piešķiršanas dienas.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pārkāpti regulas Nr. 2023/2831 nosacījumi,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23-TA-2341</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23-TA-2341</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noteikumu_projekts_23-TA-2341.docx</dc:title>
</cp:coreProperties>
</file>

<file path=docProps/custom.xml><?xml version="1.0" encoding="utf-8"?>
<Properties xmlns="http://schemas.openxmlformats.org/officeDocument/2006/custom-properties" xmlns:vt="http://schemas.openxmlformats.org/officeDocument/2006/docPropsVTypes"/>
</file>