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3.1.1. specifiskā atbalsta mērķa "Attīstīt ilgtspējīgu, pret klimatu izturīgu, inteliģentu, drošu un vairākveidu TEN-T infrastruktūru" 3.1.1.4. pasākuma "Rīgas pilsētas transporta infrastruktūras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19. 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prioritārā virziena “Ilgtspējīga TEN-T infrastruktūra” 3.1.1. specifiska atbalsta mērķa “Attīstīt ilgtspējīgu, pret klimatu izturīgu, inteliģentu, drošu un vairākveidu TEN-T infrastruktūru” 3.1.1.4. pasākuma “Rīgas pilsētas transporta infrastruktūras attīstība”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Rīgas valstspilsētas transporta infrastruktūras izbūve, pārbūve un atjaunošana, nodrošinot starptautisko savienojamību un iekļaušanos TEN-T tīklā, novēršot infrastruktūras pārrāvumus esošo pilsētas maģistrālo ielu tīklā un uzlabojot transporta infrastruktūras tehniskos parametrus un satiksmes drošību.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transporta infrastruktūras lietotāji.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plānotais kopējais finansējums ir ne mazāks kā 84 098 699 </w:t>
      </w:r>
      <w:r w:rsidR="00000000" w:rsidRPr="00000000" w:rsidDel="00000000">
        <w:rPr>
          <w:i w:val="1"/>
          <w:rtl w:val="0"/>
        </w:rPr>
        <w:t xml:space="preserve">euro</w:t>
      </w:r>
      <w:r w:rsidR="00000000" w:rsidRPr="00000000" w:rsidDel="00000000">
        <w:rPr>
          <w:rtl w:val="0"/>
        </w:rPr>
        <w:t xml:space="preserve"> (tai skaitā elastības finansējuma apjoms – 13 291 762 </w:t>
      </w:r>
      <w:r w:rsidR="00000000" w:rsidRPr="00000000" w:rsidDel="00000000">
        <w:rPr>
          <w:i w:val="1"/>
          <w:rtl w:val="0"/>
        </w:rPr>
        <w:t xml:space="preserve">euro</w:t>
      </w:r>
      <w:r w:rsidR="00000000" w:rsidRPr="00000000" w:rsidDel="00000000">
        <w:rPr>
          <w:rtl w:val="0"/>
        </w:rPr>
        <w:t xml:space="preserve">), tai skaitā Kohēzijas fonda finansējums 71 483 894 </w:t>
      </w:r>
      <w:r w:rsidR="00000000" w:rsidRPr="00000000" w:rsidDel="00000000">
        <w:rPr>
          <w:i w:val="1"/>
          <w:rtl w:val="0"/>
        </w:rPr>
        <w:t xml:space="preserve">euro</w:t>
      </w:r>
      <w:r w:rsidR="00000000" w:rsidRPr="00000000" w:rsidDel="00000000">
        <w:rPr>
          <w:rtl w:val="0"/>
        </w:rPr>
        <w:t xml:space="preserve"> (tai skaitā elastības finansējuma apjoms – 11 297 998 </w:t>
      </w:r>
      <w:r w:rsidR="00000000" w:rsidRPr="00000000" w:rsidDel="00000000">
        <w:rPr>
          <w:i w:val="1"/>
          <w:rtl w:val="0"/>
        </w:rPr>
        <w:t xml:space="preserve">euro</w:t>
      </w:r>
      <w:r w:rsidR="00000000" w:rsidRPr="00000000" w:rsidDel="00000000">
        <w:rPr>
          <w:rtl w:val="0"/>
        </w:rPr>
        <w:t xml:space="preserve">) un nacionālais līdzfinansējums (pašvaldību finansējums) – ne mazāks kā 12 614 805 </w:t>
      </w:r>
      <w:r w:rsidR="00000000" w:rsidRPr="00000000" w:rsidDel="00000000">
        <w:rPr>
          <w:i w:val="1"/>
          <w:rtl w:val="0"/>
        </w:rPr>
        <w:t xml:space="preserve">euro</w:t>
      </w:r>
      <w:r w:rsidR="00000000" w:rsidRPr="00000000" w:rsidDel="00000000">
        <w:rPr>
          <w:rtl w:val="0"/>
        </w:rPr>
        <w:t xml:space="preserve"> (tai skaitā elastības finansējuma apjoms 1 993 764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Maksimālais attiecināmais Kohēzijas fonda finansējuma apmērs ir līdz 85 procentiem no projektā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Pieejamais kopējais attiecināmais finansējums līdz 2025. gada 31. decembrim, lai slēgtu vienošanās par projekta īstenošanu, ir ne mazāks kā 70 806 937 </w:t>
      </w:r>
      <w:r w:rsidR="00000000" w:rsidRPr="00000000" w:rsidDel="00000000">
        <w:rPr>
          <w:i w:val="1"/>
          <w:rtl w:val="0"/>
        </w:rPr>
        <w:t xml:space="preserve">euro</w:t>
      </w:r>
      <w:r w:rsidR="00000000" w:rsidRPr="00000000" w:rsidDel="00000000">
        <w:rPr>
          <w:rtl w:val="0"/>
        </w:rPr>
        <w:t xml:space="preserve">, tai skaitā Eiropas Kohēzijas fonda finansējumu 60 185 896 </w:t>
      </w:r>
      <w:r w:rsidR="00000000" w:rsidRPr="00000000" w:rsidDel="00000000">
        <w:rPr>
          <w:i w:val="1"/>
          <w:rtl w:val="0"/>
        </w:rPr>
        <w:t xml:space="preserve">euro </w:t>
      </w:r>
      <w:r w:rsidR="00000000" w:rsidRPr="00000000" w:rsidDel="00000000">
        <w:rPr>
          <w:rtl w:val="0"/>
        </w:rPr>
        <w:t xml:space="preserve">un nacionālo līdzfinansējumu (pašvaldību līdzfinansējums) – ne mazāks kā 10 621 041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iesniedzējs projekta īstenošanai, tai skaitā elastības finansējuma priekšfinansēšanai, var piesaistīt papildu publiskos līdzekļus.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minētajam plānotajam kopējam finansējuma apmēram, nepārsniedzot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noteikto maksimālo Kohēzijas fonda finansējuma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Pasākumam ietvaros Kohēzijas fonda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īsteno līdz 2029. gada 31. decembrim, sasniedzot šādus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jaunu vai modernizētu autoceļu garums – TEN-T - 3,5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rādītājs – izveidots viens jauns pilsētas infrastruktūras iztrūkstošais TEN-T tīkla posms.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minētie rādītāji ir sasniegti, kad tiek pabeigti projektā paredzētie būvdarbi, kas tiek pamatoti ar iesniegtiem būvdarbu pabeigšanu pamatojošiem dokumentiem un objekti ir nodoti ekspluatācijā saskaņā ar būvniecības jomu reglamentējošajos normatīvajos aktos noteikto kārtību, un projekts ir pabeigts.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atbildīgās iestādes funkcijas pilda Satiksmes ministrija.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pasākuma ietvaros ir Rīgas valstspilsētas pašvaldība, kas pēc projekta apstiprināšanas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sagatavo un iesniedz sadarbības iestādei projekta iesniegumu saskaņā ar projekta iesniegumu atlases nolikuma prasībām. Projekta iesniegumam pievieno veikto izmaksu un ieguvumu analīzi. Projekta iesniegumu sadarbības iestādē iesniedz elektroniski, izmantojot Kohēzijas politikas fondu vadības informācijas sistēmu.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Projektā iekļauj atbalstāmās darbības, kas ir vērstas uz Rīgas valstspilsētas transporta infrastruktūras izbūvi, pārbūvi un atjaunošanu, nodrošinot integrētas transporta sistēmas veidošanu, uzlabojot transporta infrastruktūras tehniskos parametrus un satiksmes drošību.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noteiktā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ir attiecināmas šādas projekta tiešās attiecināmās izmaksas, kas ir tieši saistītas ar projekta īstenošanu un nepieciešamas projekta rezultātu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pamatojošās dokumentācijas sagatavošanas izmaksas (izņemot projekta iesnieguma veidlapas aizpildīšanas izmaksas), tai skaitā izmaksu un ieguvumu analīzes izstrādes izmaksas un tehniski ekonomiskā pamatojuma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vides aizsardzības obligāto prasību nodrošināšanai, tostarp ietekmes uz vidi novērtējuma izmaksas, ciktāl to paredz normatīvie akti vides aizsardzības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 iegādes izmaksas, ja zemes iegāde ir tieši nepieciešama projektā paredzētās būvniecības īstenošanai, ne vairāk kā 10 procenti no attiecināmo izmaksu kopsummas;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būvlaukuma ierīkošanas un novākšanas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tiltu, satiksmes pārvadu, tuneļu (turpmāk - transportbūves) un ielu būvniecības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apbraucamo ielu būvniecība, nojaukšanas un uzturēšanas izmaksas transportbūvju un ielu būvniecības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velosipēdu un gājēju ceļiem saistītās izmaksas, lai novērstu infrastruktūras pārrāvumus ar nosacījumu, ka minētajām darbībām nav nepieciešama zemes iegāde un tie nedalāmi saistīti 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labiekārtošanas izmaksas, tai skaitā autobusu pieturvietas, apgaismojuma līnijas, apzaļumošana, lietusūdens savākšanas un attīrīšanas iekārtu izbūve atbilstoši būvprojekta risinājumam;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ceļu satiksmes organizācijas tehnisko līdzekļu uzstādīšanas un atjaunošanas izmaksas, piemēram, ceļa zīmes, luksofori, signālstabiņi, aizsargbarjeras, gājēju barjeras, vertikālie un horizontālie ceļa apzīmējumi;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satiksmes vadības aprīkojuma uzstādīšanas un atjaunošanas izmaksas, piemēram, meteoroloģiskās stacijas un satiksmes uzskaites punkti, kas nepieciešami konkrētās transportbūves un ielu posma seguma stāvokļa un slodzes noteikšanai;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transportbūvju un ielu kompleksam piegulošo inženiertīklu būvniecības izmaksas. Izmaksas attiecināmas tikai gadījumā, ja tiek nodrošināts sertificēta būvinženiera ekspertīzes atzinums, kurā konstatēts, ka projekta ietvaros veicot plānotos ieguldījumus noteiktās teritorijās, nav iespējams izvairīties no minētās infrastruktūras bojāšanas, pārbūves vai pārcelšanas, un ieguldījumi inženiertīklu pārbūvē tiek veikti nemainot inženiertīklu tehniskos parametrus un neradot priekšrocības to īpašniekiem;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ceļu drošības audita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būvprojekta izstrādes un ar to saistīto būvekspertīžu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būvdarbu līgumcenu indeksācijas izmaksas atbilstoši normatīvajiem aktiem par publisko būvdarbu līgumos obligāti ietveramajiem noteikumiem un to saturu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būvuzraudzības un autoruzraudzības izmaksas un attiecīgo būvspeciālistu normatīvajos aktos noteiktās obligātās apdrošināšanas izmaksas atbilstoši normatīvajiem aktiem būvspeciālistu un būvdarbu veicēju civiltiesiskās atbildības obligātās apdrošināšanas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komunikācijas un vizuālās identitātes prasību nodrošināšanas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izdevumi neparedzētu izmaksu segšanai ne vairāk kā 5 procentu apmērā no kopējo tiešo attiecināmo izmaksu 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un </w:t>
      </w:r>
      <w:r w:rsidR="00000000" w:rsidRPr="00000000" w:rsidDel="00000000">
        <w:rPr>
          <w:rtl w:val="0"/>
        </w:rPr>
        <w:t xml:space="preserve">18.15. </w:t>
      </w:r>
      <w:r w:rsidR="00000000" w:rsidRPr="00000000" w:rsidDel="00000000">
        <w:rPr>
          <w:rtl w:val="0"/>
        </w:rPr>
        <w:t xml:space="preserve">apakšpunktā</w:t>
      </w:r>
      <w:r w:rsidR="00000000" w:rsidRPr="00000000" w:rsidDel="00000000">
        <w:rPr>
          <w:rtl w:val="0"/>
        </w:rPr>
        <w:t xml:space="preserve"> minētās izmaksas kopā nepārsniedz 10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atbilstoši </w:t>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000000" w:rsidRPr="00000000" w:rsidDel="00000000">
        <w:rPr>
          <w:rtl w:val="0"/>
        </w:rPr>
        <w:t xml:space="preserve"> (turpmāk – Regula 2021/1060), 64. panta 1. punkta “c” apakšpunkta nosacījumiem, ja tos nevar atgūt atbilstoši normatīvajiem aktiem par pievienotās vērtības nodokli.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 tai skaitā izmaksas, kas pārsniedz šo noteikumu </w:t>
      </w:r>
      <w:r w:rsidR="00000000" w:rsidRPr="00000000" w:rsidDel="00000000">
        <w:rPr>
          <w:rtl w:val="0"/>
        </w:rPr>
        <w:t xml:space="preserve">18.3. apakšpunktā</w:t>
      </w:r>
      <w:r w:rsidR="00000000" w:rsidRPr="00000000" w:rsidDel="00000000">
        <w:rPr>
          <w:rtl w:val="0"/>
        </w:rPr>
        <w:t xml:space="preserve"> un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minētos izmaksu ierobežojumus.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izmaksas ir attiecināmas no 2022. gada 25.novembra, izņemot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18.13. </w:t>
      </w:r>
      <w:r w:rsidR="00000000" w:rsidRPr="00000000" w:rsidDel="00000000">
        <w:rPr>
          <w:rtl w:val="0"/>
        </w:rPr>
        <w:t xml:space="preserve">apakšpunktā</w:t>
      </w:r>
      <w:r w:rsidR="00000000" w:rsidRPr="00000000" w:rsidDel="00000000">
        <w:rPr>
          <w:rtl w:val="0"/>
        </w:rPr>
        <w:t xml:space="preserve"> minētās izmaksas, kas ir attiecināmas, ja tās veiktas pēc 2021. gada 1.janvāra.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sasniegtajiem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minētajiem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laika ietaupījumu (dienas/gadā) no uzlabotas transporta infrastruktūras;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projekta ietekmi uz horizontālā principa “Vienlīdzība, iekļaušana, nediskriminācija un pamattiesību ievērošana” rādītāju – objektu skaits, kuros Kohēzijas fonda ieguldījumu rezultātā ir nodrošināta vides un informācijas pieejamība – un citiem horizontālo principu rādītājiem (ja attiecināms) un ievēro 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vienlīdzība, iekļaušana, nediskriminācija un pamattiesību ievērošana;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25.3. </w:t>
      </w:r>
      <w:r w:rsidR="00000000" w:rsidRPr="00000000" w:rsidDel="00000000">
        <w:rPr>
          <w:rtl w:val="0"/>
        </w:rPr>
        <w:t xml:space="preserve">apakšpunktā</w:t>
      </w:r>
      <w:r w:rsidR="00000000" w:rsidRPr="00000000" w:rsidDel="00000000">
        <w:rPr>
          <w:rtl w:val="0"/>
        </w:rPr>
        <w:t xml:space="preserve"> minētajiem horizontālo principu rādītājiem vienlaikus ar informāciju par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rādītāju vērtību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lai pasākuma ietvaros attiecināmās izmaksas nepārklātos ar citiem valsts un ārvalstu finanšu atbalsta instrumentiem un novērš dubultā finansējuma risku;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sasniegto rezultātu ilgtspēju vismaz piecus gadus pēc projekta pabeigšanas;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projekta īstenošanas rezultātā radīto vērtību uzturēšanu ar savlaicīgu uzturēšanas un periodiskās nodilušo konstrukciju atjaunošanas plānošanu un finansējuma piešķiršanu šiem darbiem turpmākos divdesmit gadus pēc projekta īstenošanas;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transporta infrastruktūras izbūve paredzēta finansējuma saņēmēja īpašumā vai valdījumā, vai turējumā esošajās zemes vienībās, vai arī, finansējuma saņēmējam ar īpašuma vai zems vienību īpašnieku ir noslēgta atbilstoša vienošanās par īpašuma vai zemes vienību, kurās paredzēta transporta infrastruktūras izbūve, ilgtermiņa nomas vai lietojuma tiesībām, vai apbūves tiesībām, kā arī būvniecības, lietošanas, uzturēšanas un attīstības (tai skaitā modernizēšanas, pārbūves) kārtību. Finansējuma saņēmēja tiesības uz konkrēto objektu vai īpašumu ir nostiprinātas Zemesgrāmatā;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komunikācijas un vizuālās identitātes prasību pasākumus saskaņā ar </w:t>
      </w:r>
      <w:r w:rsidR="00000000" w:rsidRPr="00000000" w:rsidDel="00000000">
        <w:rPr>
          <w:rtl w:val="0"/>
        </w:rPr>
        <w:t xml:space="preserve">Regulas 2021/1060</w:t>
      </w:r>
      <w:r w:rsidR="00000000" w:rsidRPr="00000000" w:rsidDel="00000000">
        <w:rPr>
          <w:rtl w:val="0"/>
        </w:rPr>
        <w:t xml:space="preserve"> 47. un 50.pantu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izstrādā Iekšējās kontroles sistēmu, ietverot tajā informāciju par interešu konflikta, krāpšanas, korupcijas risku un dubultā finansējuma novēršanas mehānismu;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interešu konflikta neesību saskaņā ar </w:t>
      </w:r>
      <w:r w:rsidR="00000000" w:rsidRPr="00000000" w:rsidDel="00000000">
        <w:rPr>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prasībām un normatīvo aktu publisko iepirkumu jomā prasībām, kā arī paraksta interešu konflikta neesamības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(zaļais publiskais iepirkums), kur tā ir attiecināma un atbilstoša ieguldījumu specifikai, lai īstenotu sociāli atbildīgu iepirkumu, kā arī piemēro inovatīvā publiskā iepirkuma nosacījumus,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Sadarbības iestāde, ja tai ir pieejami valsts budžeta līdzekļi, pamatojoties uz finansējuma saņēmēja rakstisku avansa pieprasījumu un izvērtējot plānotā avansa apmēru un tā pamatojumu, var piešķirt finansējuma saņēmējam avansu pēc vienošanās par projekta īstenošanu noslēgšanas. Finansējuma saņēmējs avansa pieprasījumu sagatavo un sadarbības iestāde apstiprina, ievērojot nosacījumu, ka plānotā avansa apmērs un tā pamatojums atbilst spējai to izlietot sešu mēnešu laikā saimnieciskā gada ietvaros (piemēram, projekta iesniedzējam ir pabeigts būvdarbu iepirkums vai noslēgts būvdarbu līgums). Finansējuma saņēmējam avansu var piešķirt līdz 50 procentiem no projektam piešķirtā Kohēzijas fonda finansējuma, ievērojot, ka avansu var izmaksāt vairākos maksājumos un avansa un starpposma maksājumu kopsumma nepārsniedz 90 procentus no projektam piešķirtā Kohēzijas fonda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īstenošanas vieta ir Rīgas valstspilsēta.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23-TA-1368</w:t>
    </w:r>
    <w:r>
      <w:br/>
    </w:r>
    <w:r w:rsidR="00000000" w:rsidRPr="00000000" w:rsidDel="00000000">
      <w:rPr>
        <w:rtl w:val="0"/>
      </w:rPr>
      <w:t xml:space="preserve">Izdrukāts 29.07.2026. 22.27 - 6.0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23-TA-1368</w:t>
    </w:r>
    <w:r>
      <w:br/>
    </w:r>
    <w:r w:rsidR="00000000" w:rsidRPr="00000000" w:rsidDel="00000000">
      <w:rPr>
        <w:rtl w:val="0"/>
      </w:rPr>
      <w:t xml:space="preserve">Izdrukāts 29.07.2026. 22.27 - 6.0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noteikumu_projekts_23-TA-1368.docx</dc:title>
</cp:coreProperties>
</file>

<file path=docProps/custom.xml><?xml version="1.0" encoding="utf-8"?>
<Properties xmlns="http://schemas.openxmlformats.org/officeDocument/2006/custom-properties" xmlns:vt="http://schemas.openxmlformats.org/officeDocument/2006/docPropsVTypes"/>
</file>