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28. jūlija noteikumos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Izdarīt izņēmumu atbilstoši Ministru kabineta 2020. gada 22. septembra sēdes protokollēmumā (prot. Nr. 55, 30. §) "Informatīvais ziņojums "Par Kohēzijas politikas Eiropas Savienības fondu investīciju aktualitātēm (pusgada ziņojums)"" (TA-1644) noteiktajam un atļaut pārdalīt Kohēzijas fonda finansējumu 3 651 314 </w:t>
      </w:r>
      <w:r w:rsidR="00000000" w:rsidRPr="00000000" w:rsidDel="00000000">
        <w:rPr>
          <w:i w:val="1"/>
          <w:rtl w:val="0"/>
        </w:rPr>
        <w:t xml:space="preserve">euro</w:t>
      </w:r>
      <w:r w:rsidR="00000000" w:rsidRPr="00000000" w:rsidDel="00000000">
        <w:rPr>
          <w:rtl w:val="0"/>
        </w:rPr>
        <w:t xml:space="preserve"> apmērā no akciju sabiedrības "Pasažieru vilciens" īstenotā projekta Nr. 4.5.1.1/21/I/001 "Rīgas un Pierīgas pasažieru pārvadāšanai nepieciešamo elektrovilcienu iegāde" uz Rīgas pašvaldības sabiedrības ar ierobežotu atbildību "Rīgas satiksme" īstenoto projektu Nr. 4.5.1.1/22/I/001 "Rīgas tramvaja infrastruktūras pielāgošana zemās grīdas tramvaja parametriem" attiecināmo izmaksu segšanai.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grozījumu līgumā par projekta “Rīgas un Pierīgas pasažieru pārvadāšanai nepieciešamo elektrovilcienu iegāde” (turpmāk – Projekts) īstenošanu noslēgšanai ar Centrālo finanšu un līgumu aģentūru kā Eiropas Savienības fondu 2021.—2027. gada plānošanas perioda sadarbības iestādi Projekta otrā posma īstenošanai atļaut Satiksmes ministrijai, pamatojoties uz Ministru kabineta 2018. gada 17. jūlija noteikumu Nr. 421 “Kārtība, kādā veic gadskārtējā valsts budžeta likumā noteiktās apropriācijas izmaiņas” 24.2. apakšpunktu,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Satiksmes ministrijas pamatbudžeta apakšprogrammu 62.14.00 “Eiropas Reģionālās attīstības fonda (ERAF) finansētie dzelzceļa infrastruktūras projekti (2021-2027)” ne vairāk kā 67 877 600 </w:t>
      </w:r>
      <w:r w:rsidR="00000000" w:rsidRPr="00000000" w:rsidDel="00000000">
        <w:rPr>
          <w:i w:val="1"/>
          <w:rtl w:val="0"/>
        </w:rPr>
        <w:t xml:space="preserve">euro</w:t>
      </w:r>
      <w:r w:rsidR="00000000" w:rsidRPr="00000000" w:rsidDel="00000000">
        <w:rPr>
          <w:rtl w:val="0"/>
        </w:rPr>
        <w:t xml:space="preserve"> apmērā, lai Eiropas Savienības kohēzijas politikas programmas 2021.–2027.gadam 2.3.1.specifiskā atbalsta mērķa “Veicināt ilgtspējīgu daudzveidu mobilitāti pilsētās” 2.3.1.4.pasākumā “Bezemisiju vilcieni” nodrošinātu Projekta otrā posma īstenošanas uzsākšanu un priekšfinansēšanu 2024.gadā.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Gadījumā, ja izmaksas, kas veiktas šī protokollēmuma 4. punktā minētā risinājuma ietvaros, netiek attiecinātas no Eiropas Reģionālās attīstības fonda finansējuma, Satiksmes ministrijai nekavējoties informēt Ministru kabinetu, sagatavojot attiecīgu informatīvo ziņojumu, kurā sniegt detalizētu aprakstu par radušos situāciju un neatbilstības rašanās cēloņiem un finansiālo ietekmi, kā arī fiskāli neitrālus priekšlikumus par turpmāko iespējamo risinājumu.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23-TA-2867</w:t>
    </w:r>
    <w:r>
      <w:br/>
    </w:r>
    <w:r w:rsidR="00000000" w:rsidRPr="00000000" w:rsidDel="00000000">
      <w:rPr>
        <w:rtl w:val="0"/>
      </w:rPr>
      <w:t xml:space="preserve">Izdrukāts 29.07.2026. 23.23 - 3.0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mk_sēdes_protokollēmuma_projekts_23-TA-2867.docx</dc:title>
</cp:coreProperties>
</file>

<file path=docProps/custom.xml><?xml version="1.0" encoding="utf-8"?>
<Properties xmlns="http://schemas.openxmlformats.org/officeDocument/2006/custom-properties" xmlns:vt="http://schemas.openxmlformats.org/officeDocument/2006/docPropsVTypes"/>
</file>