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4. februāra noteikumos Nr. 85 "Valsts un Eiropas Savienības atbalsta piešķiršanas kārtība Eiropas Lauksaimniecības fonda lauku attīstībai intervencē "Informatīvie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4. februāra noteikumos Nr. 85 "Valsts un Eiropas Savienības atbalsta piešķiršanas kārtība Eiropas Lauksaimniecības fonda lauku attīstībai intervencē "Informatīvie pasākumi"" (Latvijas Vēstnesis, 2025, 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Atbalsta mērķis ir veicināt informatīvo pasākumu pieejamību, lai padziļinātu izpratni par lauksaimniecības, mežsaimniecības un pārtikas ražošanas (izņemot zivsaimniecības produktus) jautājumiem, uzņēmumu izaugsmi, efektivitātes palielināšanu un konkurētspējas uzlabošanu, digitalizāciju un jauno tehnoloģiju izmantošanu, saimniekošanas dažādošanu, vides un klimata pasākumiem, kā arī dabas resursu ilgtspējīgas apsaimniekošanas metožu lietošanu, atjaunojamiem energoresursiem, antimikrobiālās rezistences un dzīvnieku labturības jautājumiem, darba tiesībām, darba aizsardzības un arodveselības jautājumiem, zinātnes atziņu un jaunas prakses pielietojamību, kā arī citiem jautājumiem, tādējādi sekmējot lauku teritorijas attīstību. Informatīvā pasākuma mērķis ir sniegt noderīgu informāciju par aktuāliem jautājumiem, un tam nav komerciāla vai reklāmas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nodrošinātu šo noteikumu 1. punktā minētās intervences īstenošanu, Lauku atbalsta dienests un finansējuma saņēmējs apstrādā šādus personas datus – personas vārdu, uzvārdu, personas kodu, dzimumu, tālruņa numuru, e-pasta adresi, Lauku atbalsta dienesta klienta numuru, nekustamā īpašuma adresi, nekustamā īpašuma kadastra numuru, fiziskas personas deklarēto dzīvesvietu, kā arī parakstu. Finansējuma saņēmējs nodrošina dokumentu pieejamību 10 gadus, sākot no dienas, kad piešķirts atbalsts, bet Lauku atbalsta dienests – sākot no dienas, kad piešķirts pēdējais atbalsts šajos noteikumos minētajai atbalsta intervencei. Pēc tam fiziskās personas dati iznīcināmi saskaņā ar Arhīvu likumā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Gala labuma guvēji, kas piedalās informatīvajos pasākumos, ir fiziskas personas, kuru dzīvesvieta ir deklarēta lauku teritorijā vai kuru nekustamā īpašuma (lauksaimniecības vai meža zemes) adrese ir lauku teritorijā, vai zirgu īpašnieki, kuru ganāmpulks ir reģistrēts Lauku atbalsta dienesta Lauksaimniecības dzīvnieku, ganāmpulku un novietņu reģistrā, vai juridiskas personas, kuru juridiskā adrese ir lauku teritorijā. Lauku teritorija ir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Norādītā adrese tiek pārbaudīta pēc stāvokļa informatīvā pasākuma norises pirmajā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kooperatīvā sabiedrība, kas darbojas lauksaimniecības, mežsaimniecības vai pārtikas, dzērienu un amatniecības (mājražošana)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Informatīvā pasākuma minimālais apmeklētāju skaits ir 20 šo noteikumu 9. punktā minētie gala labuma guvēji – fiziskas personas – vai gala labuma guvēju – juridisko personu –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jomas profesionāļiem (lektoriem) ir augstākā vai profesionālā vidējā izglītība;".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jomas profesionāļi (lektori) iepriekšējo triju gadu laikā, skaitot no projekta iesniegšanas dienas, vismaz reizi gadā ir apmeklējuši mācības, kursus, seminārus, lekcijas vai konferences nozarē, par kuru tie sniedz informāciju vai nodrošina zināšanu apmaiņu. Šī prasība neattiecas uz ārvalstu jomas profesionāļiem (lektoriem), izņemot gadījumus, kad atbalstu piešķir saskaņā ar regulu 2022/2472;".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viena atbalsta pretendenta organizētam starptautiska mēroga informatīvajam pasākumam, tas ir, pasākumam, kurā vismaz viens ārvalstu jomas profesionālis (lektors) piedalās klātienē, – līdz  8000 </w:t>
      </w:r>
      <w:r w:rsidR="00000000" w:rsidRPr="00000000" w:rsidDel="00000000">
        <w:rPr>
          <w:i w:val="1"/>
          <w:rtl w:val="0"/>
        </w:rPr>
        <w:t xml:space="preserve">euro, </w:t>
      </w:r>
      <w:r w:rsidR="00000000" w:rsidRPr="00000000" w:rsidDel="00000000">
        <w:rPr>
          <w:rtl w:val="0"/>
        </w:rPr>
        <w:t xml:space="preserve">bet</w:t>
      </w:r>
      <w:r w:rsidR="00000000" w:rsidRPr="00000000" w:rsidDel="00000000">
        <w:rPr>
          <w:i w:val="1"/>
          <w:rtl w:val="0"/>
        </w:rPr>
        <w:t xml:space="preserve">, </w:t>
      </w:r>
      <w:r w:rsidR="00000000" w:rsidRPr="00000000" w:rsidDel="00000000">
        <w:rPr>
          <w:rtl w:val="0"/>
        </w:rPr>
        <w:t xml:space="preserve">ja klātienē piedalās vismaz divi ārvalstu jomas profesionāļi (lektori), – līdz 10 000</w:t>
      </w:r>
      <w:r w:rsidR="00000000" w:rsidRPr="00000000" w:rsidDel="00000000">
        <w:rPr>
          <w:i w:val="1"/>
          <w:rtl w:val="0"/>
        </w:rPr>
        <w:t xml:space="preserve">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Maksimālais atbalsta apmērs vienam atbalsta pretendentam vienā kārtā ir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"19.1.6. organizatoriskās izmaksas, bet ne vairāk kā 30 procentu no tiešajām attiecināmajām izmaksām, neieskaitot kafijas pauzes izmaksas. Kafijas pauzes izmaksas ir attiecināmas vienam reģistrētajam konkrētā pasākuma dalībniekam, kas pieteicies informatīvo pasākumu apmeklēt klātienē, jomas profesionālim (lektoram) un informatīvā pasākuma organizēšanā iesaistītajam personālam, kas informatīvajā pasākumā piedalās klātienē, ne vairāk kā desmit </w:t>
      </w:r>
      <w:r w:rsidR="00000000" w:rsidRPr="00000000" w:rsidDel="00000000">
        <w:rPr>
          <w:i w:val="1"/>
          <w:rtl w:val="0"/>
        </w:rPr>
        <w:t xml:space="preserve">euro</w:t>
      </w:r>
      <w:r w:rsidR="00000000" w:rsidRPr="00000000" w:rsidDel="00000000">
        <w:rPr>
          <w:rtl w:val="0"/>
        </w:rPr>
        <w:t xml:space="preserve">, ja informatīvā pasākuma laikā tiek organizēta viena kafijas pauze. Ja pasākums ir ilgāks par sešām astronomiskajām stundām, rīko ne vairāk kā divas kafijas pauzes, kuru kopējās attiecināmās izmaksas nepārsniedz 15 </w:t>
      </w:r>
      <w:r w:rsidR="00000000" w:rsidRPr="00000000" w:rsidDel="00000000">
        <w:rPr>
          <w:i w:val="1"/>
          <w:rtl w:val="0"/>
        </w:rPr>
        <w:t xml:space="preserve">euro </w:t>
      </w:r>
      <w:r w:rsidR="00000000" w:rsidRPr="00000000" w:rsidDel="00000000">
        <w:rPr>
          <w:rtl w:val="0"/>
        </w:rPr>
        <w:t xml:space="preserve">par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netiešās attiecināmās izmaksas – izmaksas, kas nepieciešamas pakalpojuma nodrošināšanai, bet nav tieši saistītas ar pakalpojuma sniegšanu, piemēram, biroja administratīvie izdevumi, grāmatvedības pakalpojumi, – septiņi procenti no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25.3.2.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sarakstu, kurā norādīts informatīvā pasākuma īstenošanā iesaistītais personāls – jomas profesionāļi (lektori) un par projektu atbildīgā persona –, jomas profesionāļu (lektoru) kvalifikācijas apraksti, kas apliecina viņu  atbilstību šo noteikumu 12.2. apakšpunkta un 13. punkta prasībām, jomas profesionāļu (lektoru) izglītību apliecinošo dokumentu kopijas attēla formātā (ja attiecas – dokumenta kopiju par uzvārda maiņu attēla formātā). Ja nepieciešams, Lauku atbalsta dienests par dokumentiem, kas sagatavoti citā valodā, pieprasa atbalsta pretendenta apliecinātu tulkojumu latviešu valodā. Pēc projekta iesnieguma apstiprināšanas, saskaņojot ar Lauku atbalsta dienestu, pretendents ir tiesīgs mainīt vai papildināt informatīvā pasākuma īstenošanā iesaistīto personālu ar jaunu personālu, iesniedzot vajadzīgos dokumentus, kas apliecina jaunā personāla atbilstību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Lauku atbalsta dienests izvērtē atbalsta pretendenta atbilstību šo noteikumu 10. un 12. punkta nosacījumiem, pārbauda šo noteikumu 25.5. apakšpunktā minēto atbalsta pretendenta norādīto informāciju (ja attiecināms) un projektu iesniegumus sarindo dilstošā secībā, ņemot vērā iegūto punktu skaitu projektu atlases kritērijos. Atlases kritērijus atbilstoši regulas 2021/2115 79. panta 1. punktam apstiprina Zemkopības ministrija pēc saskaņošanas ar Kopējās lauksaimniecības politikas stratēģiskā plāna 2023.–2027. gadam uzraudzības komiteju, kas izveidota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Priekšroka publiskā finansējuma saņemšanai ir projekta iesniegumam ar lielāko punktu skaitu. Ja divu vai vairāku projekta iesniegumu kopējais piešķirto punktu skaits ir vienāds, priekšroka tiek dota projekta iesniegumam, kurā plānots lielākais projekta iesniegumā norādīto informatīvo pasākumu apmeklētāju kopskaits. Projektus, kas atbilst projektu atlases kritērijiem, turpina vērtēt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Atbalsta pretendents pēc informatīvā pasākuma norises līdz maksājuma pieprasījuma iesniegšanas dienai Lauku atbalsta dienesta Elektroniskās pieteikšanās sistēmā ievada informatīvā pasākuma laiku un vietu, kā arī šo noteikumu 29. un 30. punktā prasītos datus par gala labuma guvējiem un informatīvā pasākuma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informatīvā pasākuma apmeklētāju sarakstu, norādot informatīvā pasākuma laiku un vietu, reģistrēto apmeklētāju vārdu, uzvārdu un parakstu, kā arī ekrānuzņēmumu no tiešsaistes platformas, fiksējot personu sarakstu, kas apliecina reģistrēto apmeklētāju dalību informatīvajā pasākumā tiešsaistē;".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26-TA-517</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26-TA-517</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noteikumu_(grozījumu)_projekts_26-TA-517.docx</dc:title>
</cp:coreProperties>
</file>

<file path=docProps/custom.xml><?xml version="1.0" encoding="utf-8"?>
<Properties xmlns="http://schemas.openxmlformats.org/officeDocument/2006/custom-properties" xmlns:vt="http://schemas.openxmlformats.org/officeDocument/2006/docPropsVTypes"/>
</file>